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0FA52">
      <w:pPr>
        <w:pStyle w:val="2"/>
        <w:keepNext w:val="0"/>
        <w:keepLines w:val="0"/>
        <w:adjustRightInd w:val="0"/>
        <w:snapToGrid w:val="0"/>
        <w:spacing w:before="156" w:beforeLines="50" w:after="156" w:afterLines="50" w:line="240" w:lineRule="auto"/>
        <w:jc w:val="center"/>
        <w:rPr>
          <w:rFonts w:ascii="仿宋" w:hAnsi="仿宋" w:eastAsia="仿宋"/>
          <w:sz w:val="44"/>
          <w:szCs w:val="44"/>
        </w:rPr>
      </w:pPr>
      <w:bookmarkStart w:id="0" w:name="_Toc141656266"/>
      <w:r>
        <w:rPr>
          <w:rFonts w:hint="eastAsia" w:ascii="仿宋" w:hAnsi="仿宋" w:eastAsia="仿宋"/>
          <w:sz w:val="44"/>
          <w:szCs w:val="44"/>
        </w:rPr>
        <w:t xml:space="preserve">  比选</w:t>
      </w:r>
      <w:r>
        <w:rPr>
          <w:rFonts w:hint="eastAsia" w:ascii="仿宋" w:hAnsi="仿宋" w:eastAsia="仿宋"/>
          <w:sz w:val="44"/>
          <w:szCs w:val="44"/>
          <w:lang w:val="en-US" w:eastAsia="zh-CN"/>
        </w:rPr>
        <w:t>公告</w:t>
      </w:r>
      <w:bookmarkEnd w:id="0"/>
    </w:p>
    <w:p w14:paraId="719420BA">
      <w:pPr>
        <w:adjustRightInd w:val="0"/>
        <w:snapToGrid w:val="0"/>
        <w:spacing w:line="560" w:lineRule="exact"/>
        <w:ind w:firstLine="560" w:firstLineChars="200"/>
        <w:jc w:val="left"/>
        <w:rPr>
          <w:rFonts w:asciiTheme="minorEastAsia" w:hAnsiTheme="minorEastAsia" w:eastAsiaTheme="minorEastAsia"/>
          <w:color w:val="000000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本比选项目“</w:t>
      </w:r>
      <w:r>
        <w:rPr>
          <w:rFonts w:hint="eastAsia" w:cs="Times New Roman" w:asciiTheme="minorEastAsia" w:hAnsiTheme="minorEastAsia" w:eastAsiaTheme="minorEastAsia"/>
          <w:b w:val="0"/>
          <w:bCs w:val="0"/>
          <w:color w:val="000000"/>
          <w:spacing w:val="0"/>
          <w:sz w:val="28"/>
          <w:szCs w:val="28"/>
          <w:highlight w:val="none"/>
          <w:u w:val="single"/>
          <w:lang w:val="en-US" w:eastAsia="zh-CN"/>
        </w:rPr>
        <w:t>库格孜-觉北金矿矿区供水系统建设项目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”，项目业主为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eastAsia="zh-CN"/>
        </w:rPr>
        <w:t>新疆川金矿业有限责任公司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，建设资金已落实。项目已具备比选条件 ,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现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采用公开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比选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方式进行采购，符合本次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比选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要求的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比选申请人可自主报名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参加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比选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。</w:t>
      </w:r>
      <w:bookmarkStart w:id="2" w:name="_GoBack"/>
      <w:bookmarkEnd w:id="2"/>
    </w:p>
    <w:p w14:paraId="40EA448B">
      <w:pPr>
        <w:widowControl/>
        <w:adjustRightInd w:val="0"/>
        <w:snapToGrid w:val="0"/>
        <w:spacing w:line="560" w:lineRule="exact"/>
        <w:ind w:firstLine="562" w:firstLineChars="200"/>
        <w:jc w:val="left"/>
        <w:rPr>
          <w:rFonts w:cs="仿宋" w:asciiTheme="minorEastAsia" w:hAnsiTheme="minorEastAsia" w:eastAsiaTheme="minorEastAsia"/>
          <w:b/>
          <w:bCs/>
          <w:kern w:val="0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</w:rPr>
        <w:t>一、项目概况与比选范围</w:t>
      </w:r>
    </w:p>
    <w:p w14:paraId="30889813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1.控制价：本次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项目</w:t>
      </w:r>
      <w:r>
        <w:commentReference w:id="0"/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比选控制价为人民币 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u w:val="single"/>
          <w:lang w:val="en-US" w:eastAsia="zh-CN"/>
        </w:rPr>
        <w:t>175万</w:t>
      </w:r>
      <w:r>
        <w:rPr>
          <w:rFonts w:hint="eastAsia" w:asciiTheme="minorEastAsia" w:hAnsiTheme="minorEastAsia" w:eastAsiaTheme="minorEastAsia"/>
          <w:sz w:val="28"/>
          <w:szCs w:val="28"/>
          <w:u w:val="single"/>
        </w:rPr>
        <w:t>元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p w14:paraId="43852DF9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2.项目概况与比选范围</w:t>
      </w:r>
    </w:p>
    <w:p w14:paraId="20F48BBA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2.1项目名称：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库格孜-觉北金矿矿区供水系统建设项目</w:t>
      </w:r>
      <w:r>
        <w:rPr>
          <w:rFonts w:hint="eastAsia" w:cs="宋体" w:asciiTheme="minorEastAsia" w:hAnsiTheme="minorEastAsia" w:eastAsiaTheme="minorEastAsia"/>
          <w:kern w:val="0"/>
          <w:sz w:val="28"/>
          <w:szCs w:val="28"/>
          <w:u w:val="none"/>
        </w:rPr>
        <w:t>。</w:t>
      </w:r>
    </w:p>
    <w:p w14:paraId="187E8B1E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2.2项目地点：</w:t>
      </w:r>
      <w:r>
        <w:rPr>
          <w:rFonts w:hint="eastAsia" w:cs="宋体" w:asciiTheme="minorEastAsia" w:hAnsiTheme="minorEastAsia" w:eastAsiaTheme="minorEastAsia"/>
          <w:spacing w:val="0"/>
          <w:sz w:val="28"/>
          <w:szCs w:val="28"/>
        </w:rPr>
        <w:t>新疆维吾尔自治区吐鲁番市高昌区库格孜—觉北金矿矿区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p w14:paraId="18D58E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宋体"/>
          <w:sz w:val="28"/>
          <w:szCs w:val="28"/>
          <w:highlight w:val="none"/>
        </w:rPr>
        <w:t>2.3</w:t>
      </w:r>
      <w:r>
        <w:rPr>
          <w:rFonts w:hint="eastAsia"/>
          <w:sz w:val="28"/>
          <w:szCs w:val="28"/>
          <w:highlight w:val="none"/>
          <w:lang w:val="en-US" w:eastAsia="zh-CN"/>
        </w:rPr>
        <w:t>工程</w:t>
      </w:r>
      <w:r>
        <w:rPr>
          <w:rFonts w:hint="default" w:ascii="Times New Roman" w:hAnsi="Times New Roman" w:eastAsia="宋体"/>
          <w:sz w:val="28"/>
          <w:szCs w:val="28"/>
          <w:highlight w:val="none"/>
        </w:rPr>
        <w:t>内容：</w:t>
      </w:r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  <w:highlight w:val="none"/>
        </w:rPr>
        <w:t>为</w:t>
      </w:r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</w:rPr>
        <w:t>满足矿区后续开采作业、</w:t>
      </w:r>
      <w:commentRangeStart w:id="1"/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</w:rPr>
        <w:t>永久生活和生产驻地用水需求</w:t>
      </w:r>
      <w:commentRangeEnd w:id="1"/>
      <w:r>
        <w:commentReference w:id="1"/>
      </w:r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</w:rPr>
        <w:t>，特实施本供水系统建设工程。工程通过深井泵取水，经沉淀清水池沉淀后由送水泵加压输送至高位水池，再自流至净化水箱供生活区使用，形成完整的供水保障体系。主要工程内容如下：</w:t>
      </w:r>
    </w:p>
    <w:p w14:paraId="4F5ED6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</w:rPr>
        <w:t>给水管道安装工程：PE100给水管de90×5.4mm（PN1.25）约2760m，电熔连接，埋地敷设，管沟深0.8m、底宽0.8m、放坡1:0.25，沿线设水泥砼标识桩92根；</w:t>
      </w:r>
    </w:p>
    <w:p w14:paraId="10143B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</w:rPr>
        <w:t>沉淀清水池工程：地下式钢筋混凝土矩形池14m×4m×1.9m，有效容积约75m³，底板及池壁采用C30P6抗渗混凝土；</w:t>
      </w:r>
    </w:p>
    <w:p w14:paraId="772388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</w:rPr>
        <w:t>高位水池工程：地下式钢筋混凝土矩形池26m×6m×2.3m，有效容积约300m³，C30P6抗渗混凝土，池内设14道支撑墙，顶盖采用150mm岩棉夹心彩钢板保温；</w:t>
      </w:r>
    </w:p>
    <w:p w14:paraId="5FF670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</w:rPr>
        <w:t>三级沉淀池工程：地下式钢筋混凝土池5m×1.5m×2.3m，C30P6抗渗混凝土，内设3道200mm厚页岩空心砖隔墙分隔成三级沉淀池；送水泵房工程：砖混结构3m×3m，安装立式多级离心泵CDLF10-10（Q=10m³/h，H=100m，4kW，380V，304不锈钢过流部件）及配套管道、阀门；</w:t>
      </w:r>
    </w:p>
    <w:p w14:paraId="76C038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</w:rPr>
        <w:t>阀门井工程：砖砌圆形阀门井6座（Φ1000×深1.5m），配置涡轮法兰蝶阀、明杆闸阀、水力浮球阀、复合排气阀等；</w:t>
      </w:r>
    </w:p>
    <w:p w14:paraId="1ADA41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right="0" w:firstLine="560" w:firstLineChars="200"/>
        <w:textAlignment w:val="baseline"/>
        <w:rPr>
          <w:rFonts w:hint="default" w:ascii="Times New Roman" w:hAnsi="Times New Roman" w:eastAsia="宋体" w:cs="Times New Roman"/>
          <w:kern w:val="0"/>
          <w:sz w:val="28"/>
          <w:szCs w:val="28"/>
        </w:rPr>
      </w:pPr>
      <w:r>
        <w:rPr>
          <w:rFonts w:hint="default" w:ascii="Times New Roman" w:hAnsi="Times New Roman" w:eastAsia="宋体" w:cs="Times New Roman"/>
          <w:spacing w:val="0"/>
          <w:kern w:val="0"/>
          <w:sz w:val="28"/>
          <w:szCs w:val="28"/>
        </w:rPr>
        <w:t>变压器及供配电工程：S11-50kVA油浸式变压器2台（升压0.4/10kV、降压10/0.4kV），高压电缆YJLV22 3×35 8.7/15kV约2860m，泵房总配电箱、深井泵/送水泵控制柜及防雷接地；</w:t>
      </w:r>
    </w:p>
    <w:p w14:paraId="11DE5734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hint="default" w:ascii="Times New Roman" w:hAnsi="Times New Roman" w:eastAsia="宋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spacing w:val="0"/>
          <w:sz w:val="28"/>
          <w:szCs w:val="28"/>
        </w:rPr>
        <w:t>光纤自控系统工程：4芯单模铠装光缆GYTA-4B1约2500m，沉淀清水池和高位水池液位信号经光纤传输至泵房，自动控制水泵启停</w:t>
      </w:r>
      <w:r>
        <w:rPr>
          <w:rFonts w:hint="default" w:ascii="Times New Roman" w:hAnsi="Times New Roman" w:eastAsia="宋体" w:cs="Times New Roman"/>
          <w:spacing w:val="0"/>
          <w:position w:val="0"/>
          <w:sz w:val="28"/>
          <w:szCs w:val="28"/>
          <w:highlight w:val="none"/>
        </w:rPr>
        <w:t>。</w:t>
      </w:r>
    </w:p>
    <w:p w14:paraId="7E27432C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>2.4资金来源：企业自筹。</w:t>
      </w:r>
    </w:p>
    <w:p w14:paraId="46A84927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hint="default" w:ascii="Times New Roman" w:hAnsi="Times New Roman" w:eastAsia="宋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>2.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Times New Roman" w:hAnsi="Times New Roman" w:cs="Times New Roman"/>
          <w:sz w:val="28"/>
          <w:szCs w:val="28"/>
          <w:highlight w:val="none"/>
          <w:lang w:val="en-US" w:eastAsia="zh-CN"/>
        </w:rPr>
        <w:t>施工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>周期：具体开工时间以新疆川金矿业有限责任公司下达的开工通知为准，施工工期</w:t>
      </w:r>
      <w:r>
        <w:rPr>
          <w:rFonts w:hint="eastAsia" w:ascii="Times New Roman" w:hAnsi="Times New Roman" w:cs="Times New Roman"/>
          <w:sz w:val="28"/>
          <w:szCs w:val="28"/>
          <w:highlight w:val="none"/>
          <w:lang w:val="en-US" w:eastAsia="zh-CN"/>
        </w:rPr>
        <w:t>45</w:t>
      </w: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>个日历天，按实际开工之日起算。</w:t>
      </w:r>
    </w:p>
    <w:p w14:paraId="02B95917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hint="default" w:ascii="Times New Roman" w:hAnsi="Times New Roman" w:eastAsia="宋体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宋体" w:cs="Times New Roman"/>
          <w:sz w:val="28"/>
          <w:szCs w:val="28"/>
          <w:highlight w:val="none"/>
        </w:rPr>
        <w:t>3.质量标准：本项目执行国家、地方及行业现行的有关规范、规程和技术标准。</w:t>
      </w:r>
    </w:p>
    <w:p w14:paraId="6CF0D3FC">
      <w:pPr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hint="default" w:ascii="Times New Roman" w:hAnsi="Times New Roman" w:eastAsia="宋体" w:cs="Times New Roman"/>
          <w:b w:val="0"/>
          <w:bCs w:val="0"/>
          <w:spacing w:val="0"/>
          <w:sz w:val="28"/>
          <w:szCs w:val="28"/>
          <w:highlight w:val="none"/>
        </w:rPr>
      </w:pPr>
      <w:r>
        <w:rPr>
          <w:rFonts w:hint="default" w:ascii="Times New Roman" w:hAnsi="Times New Roman" w:eastAsia="宋体"/>
          <w:sz w:val="28"/>
          <w:szCs w:val="28"/>
          <w:highlight w:val="none"/>
        </w:rPr>
        <w:t>4.</w:t>
      </w:r>
      <w:r>
        <w:rPr>
          <w:rFonts w:hint="default" w:ascii="Times New Roman" w:hAnsi="Times New Roman" w:eastAsia="宋体" w:cs="Times New Roman"/>
          <w:b w:val="0"/>
          <w:bCs w:val="0"/>
          <w:spacing w:val="0"/>
          <w:sz w:val="28"/>
          <w:szCs w:val="28"/>
          <w:highlight w:val="none"/>
        </w:rPr>
        <w:t>成果要求：水池满水试验、给水管道水压试验及冲洗消毒合格，供水系统联动试运行24小时正常，满足矿区生产生活用水需求。</w:t>
      </w:r>
    </w:p>
    <w:p w14:paraId="44786ABD">
      <w:pPr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hint="default" w:ascii="Times New Roman" w:hAnsi="Times New Roman" w:eastAsia="宋体"/>
          <w:sz w:val="28"/>
          <w:szCs w:val="28"/>
        </w:rPr>
      </w:pPr>
      <w:r>
        <w:rPr>
          <w:rFonts w:hint="default" w:ascii="Times New Roman" w:hAnsi="Times New Roman" w:eastAsia="宋体"/>
          <w:sz w:val="28"/>
          <w:szCs w:val="28"/>
        </w:rPr>
        <w:t>5.标段划分：本项目为一个合同标段。</w:t>
      </w:r>
    </w:p>
    <w:p w14:paraId="15BD54A2">
      <w:pPr>
        <w:pStyle w:val="4"/>
        <w:ind w:firstLine="562" w:firstLineChars="200"/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highlight w:val="none"/>
          <w:lang w:val="en-US" w:eastAsia="zh-CN"/>
        </w:rPr>
        <w:t>二、公开比选公告发布</w:t>
      </w:r>
      <w:r>
        <w:rPr>
          <w:rFonts w:hint="default" w:ascii="Times New Roman" w:hAnsi="Times New Roman" w:eastAsia="仿宋" w:cs="Times New Roman"/>
          <w:b/>
          <w:bCs/>
          <w:kern w:val="0"/>
          <w:sz w:val="28"/>
          <w:szCs w:val="28"/>
          <w:highlight w:val="none"/>
        </w:rPr>
        <w:t>方式</w:t>
      </w:r>
    </w:p>
    <w:p w14:paraId="7F87CBF1">
      <w:pPr>
        <w:pStyle w:val="4"/>
        <w:ind w:firstLine="560" w:firstLineChars="200"/>
        <w:rPr>
          <w:highlight w:val="darkGray"/>
        </w:rPr>
      </w:pPr>
      <w:r>
        <w:rPr>
          <w:rFonts w:hint="eastAsia" w:cs="宋体" w:asciiTheme="minorEastAsia" w:hAnsiTheme="minorEastAsia" w:eastAsiaTheme="minorEastAsia"/>
          <w:sz w:val="28"/>
          <w:szCs w:val="28"/>
          <w:highlight w:val="none"/>
          <w:lang w:eastAsia="zh-CN" w:bidi="ar-SA"/>
        </w:rPr>
        <w:t>本项目以公开比选的方式进行</w:t>
      </w:r>
      <w:r>
        <w:rPr>
          <w:rFonts w:cs="宋体" w:asciiTheme="minorEastAsia" w:hAnsiTheme="minorEastAsia" w:eastAsiaTheme="minorEastAsia"/>
          <w:sz w:val="28"/>
          <w:szCs w:val="28"/>
          <w:highlight w:val="none"/>
          <w:lang w:eastAsia="zh-CN" w:bidi="ar-SA"/>
        </w:rPr>
        <w:t>，</w:t>
      </w:r>
      <w:commentRangeStart w:id="2"/>
      <w:r>
        <w:rPr>
          <w:rFonts w:hint="eastAsia" w:cs="宋体" w:asciiTheme="minorEastAsia" w:hAnsiTheme="minorEastAsia" w:eastAsiaTheme="minorEastAsia"/>
          <w:sz w:val="28"/>
          <w:szCs w:val="28"/>
          <w:highlight w:val="none"/>
          <w:lang w:val="en-US" w:eastAsia="zh-CN" w:bidi="ar-SA"/>
        </w:rPr>
        <w:t>比选</w:t>
      </w:r>
      <w:r>
        <w:rPr>
          <w:rFonts w:cs="宋体" w:asciiTheme="minorEastAsia" w:hAnsiTheme="minorEastAsia" w:eastAsiaTheme="minorEastAsia"/>
          <w:sz w:val="28"/>
          <w:szCs w:val="28"/>
          <w:highlight w:val="none"/>
          <w:lang w:eastAsia="zh-CN" w:bidi="ar-SA"/>
        </w:rPr>
        <w:t>公告在</w:t>
      </w:r>
      <w:commentRangeEnd w:id="2"/>
      <w:r>
        <w:commentReference w:id="2"/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val="en-US" w:eastAsia="zh-CN" w:bidi="ar-SA"/>
        </w:rPr>
        <w:t>资源e采阳光招采平台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eastAsia="zh-CN" w:bidi="ar-SA"/>
        </w:rPr>
        <w:t>（https://www.scrgjc.com/portal/home）</w:t>
      </w:r>
      <w:r>
        <w:rPr>
          <w:rFonts w:cs="宋体" w:asciiTheme="minorEastAsia" w:hAnsiTheme="minorEastAsia" w:eastAsiaTheme="minorEastAsia"/>
          <w:sz w:val="28"/>
          <w:szCs w:val="28"/>
          <w:highlight w:val="none"/>
          <w:lang w:eastAsia="zh-CN" w:bidi="ar-SA"/>
        </w:rPr>
        <w:t>发布。</w:t>
      </w:r>
    </w:p>
    <w:p w14:paraId="5D2F75C8">
      <w:pPr>
        <w:widowControl/>
        <w:adjustRightInd w:val="0"/>
        <w:snapToGrid w:val="0"/>
        <w:spacing w:line="560" w:lineRule="exact"/>
        <w:ind w:firstLine="562" w:firstLineChars="200"/>
        <w:jc w:val="left"/>
        <w:rPr>
          <w:rFonts w:cs="仿宋" w:asciiTheme="minorEastAsia" w:hAnsiTheme="minorEastAsia" w:eastAsiaTheme="minorEastAsia"/>
          <w:b/>
          <w:bCs/>
          <w:kern w:val="0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  <w:lang w:val="en-US" w:eastAsia="zh-CN"/>
        </w:rPr>
        <w:t>三</w:t>
      </w: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</w:rPr>
        <w:t>、比选申请人资格要求</w:t>
      </w:r>
    </w:p>
    <w:p w14:paraId="4809B330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1.本次比选要求比选申请人必须是经国家工商行政管理部门登记注册，具有独立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法人资格的</w:t>
      </w:r>
      <w:r>
        <w:rPr>
          <w:rFonts w:hint="eastAsia" w:asciiTheme="minorEastAsia" w:hAnsiTheme="minorEastAsia" w:eastAsiaTheme="minorEastAsia"/>
          <w:sz w:val="28"/>
          <w:szCs w:val="28"/>
        </w:rPr>
        <w:t>企业（事业）法人或其它组织，具备有效的营业执照或事业单位法人证书；</w:t>
      </w:r>
    </w:p>
    <w:p w14:paraId="2D1132BF">
      <w:pPr>
        <w:snapToGrid w:val="0"/>
        <w:spacing w:before="0" w:beforeAutospacing="0" w:after="0" w:afterAutospacing="0" w:line="560" w:lineRule="exact"/>
        <w:ind w:firstLine="560" w:firstLineChars="200"/>
        <w:jc w:val="left"/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asciiTheme="minorEastAsia" w:hAnsiTheme="minorEastAsia" w:eastAsiaTheme="minorEastAsia"/>
          <w:sz w:val="28"/>
          <w:szCs w:val="28"/>
          <w:highlight w:val="none"/>
        </w:rPr>
        <w:t>2.资质要求：</w:t>
      </w:r>
      <w:r>
        <w:rPr>
          <w:rFonts w:cs="宋体" w:asciiTheme="minorEastAsia" w:hAnsiTheme="minorEastAsia" w:eastAsiaTheme="minorEastAsia"/>
          <w:spacing w:val="0"/>
          <w:position w:val="0"/>
          <w:sz w:val="28"/>
          <w:szCs w:val="28"/>
          <w:highlight w:val="none"/>
        </w:rPr>
        <w:t>具备行政主管部门颁发</w:t>
      </w:r>
      <w:r>
        <w:rPr>
          <w:rFonts w:hint="eastAsia" w:cs="宋体" w:asciiTheme="minorEastAsia" w:hAnsiTheme="minorEastAsia" w:eastAsiaTheme="minorEastAsia"/>
          <w:spacing w:val="0"/>
          <w:position w:val="0"/>
          <w:sz w:val="28"/>
          <w:szCs w:val="28"/>
          <w:highlight w:val="none"/>
          <w:lang w:val="en-US" w:eastAsia="zh-CN"/>
        </w:rPr>
        <w:t>的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>建筑工程施工总承包二级</w:t>
      </w:r>
      <w:r>
        <w:rPr>
          <w:rFonts w:cs="宋体" w:asciiTheme="minorEastAsia" w:hAnsiTheme="minorEastAsia" w:eastAsiaTheme="minorEastAsia"/>
          <w:spacing w:val="0"/>
          <w:position w:val="0"/>
          <w:sz w:val="28"/>
          <w:szCs w:val="28"/>
          <w:highlight w:val="none"/>
        </w:rPr>
        <w:t>及以上资质</w:t>
      </w:r>
      <w:r>
        <w:rPr>
          <w:rFonts w:hint="eastAsia" w:cs="宋体" w:asciiTheme="minorEastAsia" w:hAnsiTheme="minorEastAsia" w:eastAsiaTheme="minorEastAsia"/>
          <w:spacing w:val="0"/>
          <w:position w:val="0"/>
          <w:sz w:val="28"/>
          <w:szCs w:val="28"/>
          <w:highlight w:val="none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pacing w:val="0"/>
          <w:position w:val="0"/>
          <w:sz w:val="28"/>
          <w:szCs w:val="28"/>
          <w:highlight w:val="none"/>
          <w:lang w:val="en-US" w:eastAsia="zh-CN"/>
        </w:rPr>
        <w:t>具备有效的安全生产许可证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；</w:t>
      </w:r>
    </w:p>
    <w:p w14:paraId="3A1B353F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3.比选申请人企业近5年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2021年7月1日起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/>
          <w:sz w:val="28"/>
          <w:szCs w:val="28"/>
        </w:rPr>
        <w:t>应承担过1个类似项目（业绩证明材料指合同或竣工验收证明文件复印件）；</w:t>
      </w:r>
    </w:p>
    <w:p w14:paraId="6DE343F9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4.信誉要求：要求申请人应信誉良好，没有处于被责令停业，</w:t>
      </w:r>
      <w:r>
        <w:rPr>
          <w:rFonts w:asciiTheme="minorEastAsia" w:hAnsiTheme="minorEastAsia" w:eastAsiaTheme="minorEastAsia"/>
          <w:sz w:val="28"/>
          <w:szCs w:val="28"/>
        </w:rPr>
        <w:t>投标</w:t>
      </w:r>
      <w:r>
        <w:rPr>
          <w:rFonts w:hint="eastAsia" w:asciiTheme="minorEastAsia" w:hAnsiTheme="minorEastAsia" w:eastAsiaTheme="minorEastAsia"/>
          <w:sz w:val="28"/>
          <w:szCs w:val="28"/>
        </w:rPr>
        <w:t>资格被取消，财产被接管、冻结、破产状态；在最近三年内（202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eastAsiaTheme="minorEastAsia"/>
          <w:sz w:val="28"/>
          <w:szCs w:val="28"/>
        </w:rPr>
        <w:t>年～202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8"/>
          <w:szCs w:val="28"/>
        </w:rPr>
        <w:t>年）没有骗取中标行为和严重违约及重大工程质量、安全事故。（以上内容申请人应附相应证明材料或以承诺形式做出承诺）；</w:t>
      </w:r>
    </w:p>
    <w:p w14:paraId="3568942E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5.申请人当前未因不良行为记录被行政主管部门暂停或取消</w:t>
      </w:r>
      <w:r>
        <w:rPr>
          <w:rFonts w:asciiTheme="minorEastAsia" w:hAnsiTheme="minorEastAsia" w:eastAsiaTheme="minorEastAsia"/>
          <w:sz w:val="28"/>
          <w:szCs w:val="28"/>
        </w:rPr>
        <w:t>投标</w:t>
      </w:r>
      <w:r>
        <w:rPr>
          <w:rFonts w:hint="eastAsia" w:asciiTheme="minorEastAsia" w:hAnsiTheme="minorEastAsia" w:eastAsiaTheme="minorEastAsia"/>
          <w:sz w:val="28"/>
          <w:szCs w:val="28"/>
        </w:rPr>
        <w:t>资格或未列入“信用中国”网站（http://www.creditchina.gov.cn/）的失信被执行人；没有被责令停业，投标资格被取消，财产被托管、冻结、破产状态；</w:t>
      </w:r>
    </w:p>
    <w:p w14:paraId="1D4D5ABB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6.本次比选不接受联合体比选申请；</w:t>
      </w:r>
    </w:p>
    <w:p w14:paraId="687593AA">
      <w:pPr>
        <w:pStyle w:val="8"/>
        <w:snapToGrid w:val="0"/>
        <w:spacing w:before="0" w:beforeAutospacing="0" w:after="0" w:afterAutospacing="0" w:line="560" w:lineRule="exact"/>
        <w:ind w:firstLine="560" w:firstLineChars="200"/>
        <w:jc w:val="both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7.资格审查：采用资格后审方式。</w:t>
      </w:r>
    </w:p>
    <w:p w14:paraId="14409C9E">
      <w:pPr>
        <w:widowControl/>
        <w:adjustRightInd w:val="0"/>
        <w:snapToGrid w:val="0"/>
        <w:spacing w:line="560" w:lineRule="exact"/>
        <w:ind w:firstLine="562" w:firstLineChars="200"/>
        <w:jc w:val="left"/>
        <w:rPr>
          <w:rFonts w:cs="仿宋" w:asciiTheme="minorEastAsia" w:hAnsiTheme="minorEastAsia" w:eastAsiaTheme="minorEastAsia"/>
          <w:b/>
          <w:bCs/>
          <w:kern w:val="0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  <w:lang w:val="en-US" w:eastAsia="zh-CN"/>
        </w:rPr>
        <w:t>四</w:t>
      </w: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</w:rPr>
        <w:t>、对申请人资格的限制</w:t>
      </w:r>
    </w:p>
    <w:p w14:paraId="2B164D1F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1.处于市场禁入期内或限制期内的机构不能参加申请；</w:t>
      </w:r>
    </w:p>
    <w:p w14:paraId="1C6306CC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2.申请人没有被市场禁入或限制，但其从业人员被市场禁入或限制的，在市场禁入期或限制期内不得作为从业人员参加比选；</w:t>
      </w:r>
    </w:p>
    <w:p w14:paraId="19559930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3.申请机构、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val="en-US" w:eastAsia="zh-CN"/>
        </w:rPr>
        <w:t>法定代表人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、股东不讲诚信，已经列入失信被执行人；</w:t>
      </w:r>
    </w:p>
    <w:p w14:paraId="10DA9E66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4.申请人在比选中有弄虚作假情形的取消比选资格；</w:t>
      </w:r>
    </w:p>
    <w:p w14:paraId="3DD9CEAA">
      <w:pPr>
        <w:snapToGrid w:val="0"/>
        <w:spacing w:line="560" w:lineRule="exact"/>
        <w:ind w:firstLine="560" w:firstLineChars="200"/>
        <w:rPr>
          <w:rFonts w:cs="仿宋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弄虚作假行为是指：</w:t>
      </w:r>
    </w:p>
    <w:p w14:paraId="064AB1A7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（1）利用伪造、变造的证书、证明材料、印鉴参加比选的；</w:t>
      </w:r>
    </w:p>
    <w:p w14:paraId="0945751C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（2）伪造或者虚报业绩的；</w:t>
      </w:r>
    </w:p>
    <w:p w14:paraId="2607962B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（3）伪造主要负责人或主要专业技术人员简历、证明，或者中选后不按承诺配备项目主要负责人或者主要专业技术人员的（不可抗力除外）；</w:t>
      </w:r>
    </w:p>
    <w:p w14:paraId="2B18FDB3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（4）提交虚假的信用状况信息；</w:t>
      </w:r>
    </w:p>
    <w:p w14:paraId="1A5A1B8A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（5）隐瞒比选文件要求提供的信息，或者提供虚假、引人误解的其他信息的；</w:t>
      </w:r>
    </w:p>
    <w:p w14:paraId="4912B7A4">
      <w:pPr>
        <w:snapToGrid w:val="0"/>
        <w:spacing w:line="560" w:lineRule="exact"/>
        <w:ind w:firstLine="560" w:firstLineChars="200"/>
        <w:rPr>
          <w:rFonts w:cs="仿宋" w:asciiTheme="minorEastAsia" w:hAnsiTheme="minorEastAsia" w:eastAsiaTheme="minorEastAsia"/>
          <w:color w:val="000000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（6）法律法规规章规定的其他弄虚作假行为的。</w:t>
      </w:r>
    </w:p>
    <w:p w14:paraId="45BD20CA">
      <w:pPr>
        <w:widowControl/>
        <w:adjustRightInd w:val="0"/>
        <w:snapToGrid w:val="0"/>
        <w:spacing w:line="560" w:lineRule="exact"/>
        <w:ind w:firstLine="562" w:firstLineChars="200"/>
        <w:jc w:val="left"/>
        <w:rPr>
          <w:rFonts w:cs="仿宋" w:asciiTheme="minorEastAsia" w:hAnsiTheme="minorEastAsia" w:eastAsiaTheme="minorEastAsia"/>
          <w:b/>
          <w:bCs/>
          <w:kern w:val="0"/>
          <w:sz w:val="28"/>
          <w:szCs w:val="28"/>
          <w:highlight w:val="none"/>
        </w:rPr>
      </w:pP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  <w:highlight w:val="none"/>
          <w:lang w:val="en-US" w:eastAsia="zh-CN"/>
        </w:rPr>
        <w:t>五</w:t>
      </w: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  <w:highlight w:val="none"/>
        </w:rPr>
        <w:t>、比选文件的获取</w:t>
      </w:r>
    </w:p>
    <w:p w14:paraId="276C902E">
      <w:pPr>
        <w:snapToGrid w:val="0"/>
        <w:spacing w:line="560" w:lineRule="exact"/>
        <w:ind w:firstLine="560" w:firstLineChars="200"/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1.比选文件获取：线上获取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eastAsia="zh-CN"/>
        </w:rPr>
        <w:t>；</w:t>
      </w:r>
    </w:p>
    <w:p w14:paraId="16D0C22D">
      <w:pPr>
        <w:snapToGrid w:val="0"/>
        <w:spacing w:line="560" w:lineRule="exact"/>
        <w:ind w:firstLine="560" w:firstLineChars="200"/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(1)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获取时间: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以资源e采平台公告的报名开始时间起通过平台获取文件，报名结束时间止（如报名结束后获取文件无效，视为报名未成功，不予参与本项目投标）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eastAsia="zh-CN"/>
        </w:rPr>
        <w:t>；</w:t>
      </w:r>
    </w:p>
    <w:p w14:paraId="064979D0">
      <w:pPr>
        <w:snapToGrid w:val="0"/>
        <w:spacing w:line="560" w:lineRule="exact"/>
        <w:ind w:firstLine="560" w:firstLineChars="200"/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2）获取流程：</w:t>
      </w:r>
    </w:p>
    <w:p w14:paraId="7FEAC4BD">
      <w:pPr>
        <w:snapToGrid w:val="0"/>
        <w:spacing w:line="560" w:lineRule="exact"/>
        <w:ind w:firstLine="560" w:firstLineChars="200"/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</w:pPr>
      <w:r>
        <w:rPr>
          <w:rFonts w:hint="default" w:ascii="Calibri" w:hAnsi="Calibri" w:cs="Calibri" w:eastAsiaTheme="minorEastAsia"/>
          <w:color w:val="000000"/>
          <w:sz w:val="28"/>
          <w:szCs w:val="28"/>
          <w:highlight w:val="none"/>
        </w:rPr>
        <w:t>①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登录网址 https://www. scrgjc.com/portal/home:</w:t>
      </w:r>
    </w:p>
    <w:p w14:paraId="171BCAAF">
      <w:pPr>
        <w:snapToGrid w:val="0"/>
        <w:spacing w:line="560" w:lineRule="exact"/>
        <w:ind w:firstLine="560" w:firstLineChars="200"/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</w:pPr>
      <w:r>
        <w:rPr>
          <w:rFonts w:hint="default" w:ascii="Calibri" w:hAnsi="Calibri" w:cs="Calibri" w:eastAsiaTheme="minorEastAsia"/>
          <w:color w:val="000000"/>
          <w:sz w:val="28"/>
          <w:szCs w:val="28"/>
          <w:highlight w:val="none"/>
        </w:rPr>
        <w:t>②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完成供应商注册并缴纳CA认证费用(800元/年):</w:t>
      </w:r>
    </w:p>
    <w:p w14:paraId="76AD145B">
      <w:pPr>
        <w:snapToGrid w:val="0"/>
        <w:spacing w:line="560" w:lineRule="exact"/>
        <w:ind w:firstLine="560" w:firstLineChars="200"/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</w:pPr>
      <w:r>
        <w:rPr>
          <w:rFonts w:hint="default" w:ascii="Calibri" w:hAnsi="Calibri" w:cs="Calibri" w:eastAsiaTheme="minorEastAsia"/>
          <w:color w:val="000000"/>
          <w:sz w:val="28"/>
          <w:szCs w:val="28"/>
          <w:highlight w:val="none"/>
        </w:rPr>
        <w:t>③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对于已在网址注册并缴纳CA认证费用的供应商，点击[《招标采购项目》可参与的项目】报名参与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本项目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。</w:t>
      </w:r>
    </w:p>
    <w:p w14:paraId="60B62B2F">
      <w:pPr>
        <w:pStyle w:val="11"/>
        <w:ind w:firstLine="480"/>
        <w:jc w:val="left"/>
        <w:rPr>
          <w:rFonts w:cs="Times New Roman" w:asciiTheme="minorEastAsia" w:hAnsiTheme="minorEastAsia"/>
          <w:color w:val="000000"/>
          <w:kern w:val="2"/>
          <w:sz w:val="28"/>
          <w:szCs w:val="28"/>
          <w:highlight w:val="none"/>
          <w:lang w:eastAsia="zh-CN" w:bidi="ar-SA"/>
        </w:rPr>
      </w:pP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eastAsia="zh-CN" w:bidi="ar-SA"/>
        </w:rPr>
        <w:t>2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val="en-US" w:eastAsia="zh-CN" w:bidi="ar-SA"/>
        </w:rPr>
        <w:t>.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采购人应当在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val="en-US" w:eastAsia="zh-CN" w:bidi="ar-SA"/>
        </w:rPr>
        <w:t>比选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文件获取时间开始前，将本项目电子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val="en-US" w:eastAsia="zh-CN" w:bidi="ar-SA"/>
        </w:rPr>
        <w:t>比选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文件上传至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val="en-US" w:eastAsia="zh-CN" w:bidi="ar-SA"/>
        </w:rPr>
        <w:t>资源e采阳光招采平台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eastAsia="zh-CN" w:bidi="ar-SA"/>
        </w:rPr>
        <w:t>（https://www.scrgjc.com/portal/home）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，向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lang w:eastAsia="zh-CN"/>
        </w:rPr>
        <w:t>比选申请人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免费提供，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lang w:eastAsia="zh-CN"/>
        </w:rPr>
        <w:t>比选申请人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通过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val="en-US" w:eastAsia="zh-CN" w:bidi="ar-SA"/>
        </w:rPr>
        <w:t>资源e采阳光招采平台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获取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val="en-US" w:eastAsia="zh-CN" w:bidi="ar-SA"/>
        </w:rPr>
        <w:t>比选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文件。未按规定获取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val="en-US" w:eastAsia="zh-CN" w:bidi="ar-SA"/>
        </w:rPr>
        <w:t>比选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文件的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lang w:eastAsia="zh-CN"/>
        </w:rPr>
        <w:t>比选申请人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，不得参与本次采购活动，不得对</w:t>
      </w:r>
      <w:r>
        <w:rPr>
          <w:rFonts w:hint="eastAsia" w:cs="Times New Roman" w:asciiTheme="minorEastAsia" w:hAnsiTheme="minorEastAsia"/>
          <w:color w:val="000000"/>
          <w:kern w:val="2"/>
          <w:sz w:val="28"/>
          <w:szCs w:val="28"/>
          <w:highlight w:val="none"/>
          <w:lang w:val="en-US" w:eastAsia="zh-CN" w:bidi="ar-SA"/>
        </w:rPr>
        <w:t>比选</w:t>
      </w:r>
      <w:r>
        <w:rPr>
          <w:rFonts w:cs="Times New Roman" w:asciiTheme="minorEastAsia" w:hAnsiTheme="minorEastAsia" w:eastAsiaTheme="minorEastAsia"/>
          <w:color w:val="000000"/>
          <w:kern w:val="2"/>
          <w:sz w:val="28"/>
          <w:szCs w:val="28"/>
          <w:highlight w:val="none"/>
          <w:lang w:eastAsia="zh-CN" w:bidi="ar-SA"/>
        </w:rPr>
        <w:t>文件提起质疑。</w:t>
      </w:r>
    </w:p>
    <w:p w14:paraId="52B36AE3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  <w:highlight w:val="none"/>
        </w:rPr>
      </w:pP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注：获取的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比选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文件由正文和附件组成，正文部分包括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PDF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、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WORD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两种格式版本，如内容有不一致的，以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PDF</w:t>
      </w:r>
      <w:r>
        <w:rPr>
          <w:rFonts w:hint="eastAsia" w:cs="Times New Roman" w:asciiTheme="minorEastAsia" w:hAnsiTheme="minorEastAsia" w:eastAsiaTheme="minorEastAsia"/>
          <w:color w:val="000000"/>
          <w:sz w:val="28"/>
          <w:szCs w:val="28"/>
          <w:highlight w:val="none"/>
        </w:rPr>
        <w:t>格式内容为准。</w:t>
      </w:r>
    </w:p>
    <w:p w14:paraId="6A9C89C6">
      <w:pPr>
        <w:widowControl/>
        <w:adjustRightInd w:val="0"/>
        <w:snapToGrid w:val="0"/>
        <w:spacing w:line="560" w:lineRule="exact"/>
        <w:ind w:firstLine="562" w:firstLineChars="200"/>
        <w:jc w:val="left"/>
        <w:rPr>
          <w:rFonts w:cs="仿宋" w:asciiTheme="minorEastAsia" w:hAnsiTheme="minorEastAsia" w:eastAsiaTheme="minorEastAsia"/>
          <w:b/>
          <w:bCs/>
          <w:kern w:val="0"/>
          <w:sz w:val="28"/>
          <w:szCs w:val="28"/>
          <w:highlight w:val="none"/>
        </w:rPr>
      </w:pP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  <w:highlight w:val="none"/>
          <w:lang w:val="en-US" w:eastAsia="zh-CN"/>
        </w:rPr>
        <w:t>六</w:t>
      </w: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  <w:highlight w:val="none"/>
        </w:rPr>
        <w:t>、比选申请文件的递交</w:t>
      </w:r>
    </w:p>
    <w:p w14:paraId="58096514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1.比选申请文件应由比选申请人法定代表人或经其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正式授权的代理人在“比选文件”要求的地方签字并加盖公章，比选申请文件密封封装，并注明项目名称、比选申请人名称，密封处均应贴封条，并加盖比选申请人公章或法定代表人印章；</w:t>
      </w:r>
    </w:p>
    <w:p w14:paraId="507A0DEA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2.密封信封上注明“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>于202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>年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>月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>日上午10:00时之前不准启封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”的字样；</w:t>
      </w:r>
    </w:p>
    <w:p w14:paraId="3BFEB452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3.比选申请文件需由专人送交，比选申请人按上述规定进行密封和标记后，将比选申请文件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lang w:val="en-US" w:eastAsia="zh-CN"/>
        </w:rPr>
        <w:t>及电子档U盘（工程类项目还需附项目预算软件版）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按照比选须知中注明的地址、时间送达；</w:t>
      </w:r>
    </w:p>
    <w:p w14:paraId="4C894429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4.比选申请人如未按上述要求标记、密封，其比选申请文件将被拒绝。</w:t>
      </w:r>
    </w:p>
    <w:p w14:paraId="77E91CE5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  <w:highlight w:val="red"/>
        </w:rPr>
      </w:pPr>
      <w:bookmarkStart w:id="1" w:name="_Toc282421679"/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5.送件地址</w:t>
      </w:r>
      <w:bookmarkEnd w:id="1"/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：成都市高新区天泰路145号特拉克斯国际广场南楼3楼四川黄金股份有限公司成都分公司；收件人：张鹏锦；联系电话：13608189277。</w:t>
      </w:r>
    </w:p>
    <w:p w14:paraId="462DE541">
      <w:pPr>
        <w:widowControl/>
        <w:adjustRightInd w:val="0"/>
        <w:snapToGrid w:val="0"/>
        <w:spacing w:line="560" w:lineRule="exact"/>
        <w:ind w:firstLine="562" w:firstLineChars="200"/>
        <w:jc w:val="left"/>
        <w:rPr>
          <w:rFonts w:cs="仿宋" w:asciiTheme="minorEastAsia" w:hAnsiTheme="minorEastAsia" w:eastAsiaTheme="minorEastAsia"/>
          <w:b/>
          <w:bCs/>
          <w:kern w:val="0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  <w:lang w:val="en-US" w:eastAsia="zh-CN"/>
        </w:rPr>
        <w:t>七</w:t>
      </w:r>
      <w:r>
        <w:rPr>
          <w:rFonts w:hint="eastAsia" w:cs="仿宋" w:asciiTheme="minorEastAsia" w:hAnsiTheme="minorEastAsia" w:eastAsiaTheme="minorEastAsia"/>
          <w:b/>
          <w:bCs/>
          <w:kern w:val="0"/>
          <w:sz w:val="28"/>
          <w:szCs w:val="28"/>
        </w:rPr>
        <w:t>、开选时间</w:t>
      </w:r>
    </w:p>
    <w:p w14:paraId="1B6BFE9F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  <w:u w:val="single"/>
        </w:rPr>
        <w:t>202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8"/>
          <w:szCs w:val="28"/>
          <w:u w:val="single"/>
        </w:rPr>
        <w:t>年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sz w:val="28"/>
          <w:szCs w:val="28"/>
          <w:u w:val="single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  <w:u w:val="single"/>
          <w:lang w:val="en-US" w:eastAsia="zh-CN"/>
        </w:rPr>
        <w:t>11</w:t>
      </w:r>
      <w:r>
        <w:rPr>
          <w:rFonts w:hint="eastAsia" w:asciiTheme="minorEastAsia" w:hAnsiTheme="minorEastAsia" w:eastAsiaTheme="minorEastAsia"/>
          <w:sz w:val="28"/>
          <w:szCs w:val="28"/>
          <w:u w:val="single"/>
        </w:rPr>
        <w:t>日上午10时00分(北京时间)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p w14:paraId="5DBE8CA0">
      <w:pPr>
        <w:widowControl/>
        <w:adjustRightInd w:val="0"/>
        <w:snapToGrid w:val="0"/>
        <w:spacing w:line="560" w:lineRule="exact"/>
        <w:ind w:firstLine="562" w:firstLineChars="200"/>
        <w:jc w:val="left"/>
        <w:rPr>
          <w:rFonts w:cs="仿宋" w:asciiTheme="minorEastAsia" w:hAnsiTheme="minorEastAsia" w:eastAsiaTheme="minorEastAsia"/>
          <w:b/>
          <w:kern w:val="0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b/>
          <w:kern w:val="0"/>
          <w:sz w:val="28"/>
          <w:szCs w:val="28"/>
          <w:lang w:val="en-US" w:eastAsia="zh-CN"/>
        </w:rPr>
        <w:t>八</w:t>
      </w:r>
      <w:r>
        <w:rPr>
          <w:rFonts w:hint="eastAsia" w:cs="仿宋" w:asciiTheme="minorEastAsia" w:hAnsiTheme="minorEastAsia" w:eastAsiaTheme="minorEastAsia"/>
          <w:b/>
          <w:kern w:val="0"/>
          <w:sz w:val="28"/>
          <w:szCs w:val="28"/>
        </w:rPr>
        <w:t>、联系方式</w:t>
      </w:r>
    </w:p>
    <w:p w14:paraId="50838833">
      <w:pPr>
        <w:snapToGrid w:val="0"/>
        <w:spacing w:line="560" w:lineRule="exact"/>
        <w:ind w:firstLine="560" w:firstLineChars="200"/>
        <w:rPr>
          <w:rFonts w:hint="eastAsia" w:asciiTheme="minorEastAsia" w:hAnsiTheme="minorEastAsia" w:eastAsiaTheme="minorEastAsia"/>
          <w:color w:val="00000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  <w:lang w:eastAsia="zh-CN"/>
        </w:rPr>
        <w:t>比选人：新疆川金矿业有限责任公司</w:t>
      </w:r>
    </w:p>
    <w:p w14:paraId="42C77F7B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联系地址：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>成都市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  <w:lang w:val="en-US" w:eastAsia="zh-CN"/>
        </w:rPr>
        <w:t>高新区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u w:val="single"/>
        </w:rPr>
        <w:t>天泰路145号特拉克斯国际广场南楼3楼</w:t>
      </w:r>
    </w:p>
    <w:p w14:paraId="4E617FCF">
      <w:pPr>
        <w:snapToGrid w:val="0"/>
        <w:spacing w:line="560" w:lineRule="exact"/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联系人：张鹏锦</w:t>
      </w:r>
    </w:p>
    <w:p w14:paraId="595C1B01"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电话：13608189277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YZ" w:date="2026-10-22T10:44:42Z" w:initials="1">
    <w:p w14:paraId="61FB9DAE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请确认，从内容看应当是工程建设项目，施工比选控制价</w:t>
      </w:r>
    </w:p>
  </w:comment>
  <w:comment w:id="1" w:author="Mr.周" w:date="2026-10-22T16:19:23Z" w:initials="">
    <w:p w14:paraId="27754FDE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前后不一致。</w:t>
      </w:r>
    </w:p>
  </w:comment>
  <w:comment w:id="2" w:author="YZ" w:date="2026-10-22T10:43:18Z" w:initials="1">
    <w:p w14:paraId="343A9E79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确定在母公司公告吗？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1FB9DAE" w15:done="1"/>
  <w15:commentEx w15:paraId="27754FDE" w15:done="1"/>
  <w15:commentEx w15:paraId="343A9E79" w15:done="1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Z">
    <w15:presenceInfo w15:providerId="None" w15:userId="YZ"/>
  </w15:person>
  <w15:person w15:author="Mr.周">
    <w15:presenceInfo w15:providerId="WPS Office" w15:userId="39054356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3A38A0"/>
    <w:rsid w:val="103A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32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unhideWhenUsed/>
    <w:qFormat/>
    <w:uiPriority w:val="99"/>
    <w:pPr>
      <w:spacing w:after="120"/>
    </w:pPr>
  </w:style>
  <w:style w:type="paragraph" w:styleId="5">
    <w:name w:val="Body Text First Indent"/>
    <w:basedOn w:val="4"/>
    <w:next w:val="6"/>
    <w:qFormat/>
    <w:uiPriority w:val="0"/>
    <w:pPr>
      <w:ind w:firstLine="420" w:firstLineChars="100"/>
    </w:pPr>
    <w:rPr>
      <w:rFonts w:ascii="宋体" w:hAnsi="宋体"/>
    </w:rPr>
  </w:style>
  <w:style w:type="paragraph" w:customStyle="1" w:styleId="6">
    <w:name w:val="段落正文"/>
    <w:basedOn w:val="1"/>
    <w:autoRedefine/>
    <w:qFormat/>
    <w:uiPriority w:val="0"/>
    <w:pPr>
      <w:spacing w:beforeLines="50" w:line="360" w:lineRule="auto"/>
      <w:ind w:firstLine="200" w:firstLineChars="200"/>
    </w:pPr>
    <w:rPr>
      <w:spacing w:val="2"/>
      <w:sz w:val="24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2026-11-02T07:18:00Z</dcterms:created>
  <dc:creator>屁宝</dc:creator>
  <cp:lastModifiedBy>屁宝</cp:lastModifiedBy>
  <dcterms:modified xsi:type="dcterms:W3CDTF">2026-11-02T07:18:54Z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03859292321145EEB663AEA3FC62A8DE_11</vt:lpwstr>
  </property>
  <property fmtid="{D5CDD505-2E9C-101B-9397-08002B2CF9AE}" pid="4" name="KSOTemplateDocerSaveRecord">
    <vt:lpwstr>eyJoZGlkIjoiODU2MmUxNDk2NjVjN2RjYzY5ODU0N2MyMjA3OGViM2MiLCJ1c2VySWQiOiIxMDcwNDkyNDI3In0=</vt:lpwstr>
  </property>
</Properties>
</file>