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615E6">
      <w:pPr>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四川黄金股份有限公司</w:t>
      </w:r>
    </w:p>
    <w:p w14:paraId="33B4E3FA">
      <w:pPr>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梭罗沟金矿120万吨/年改扩建工程</w:t>
      </w:r>
    </w:p>
    <w:p w14:paraId="482CA7E7">
      <w:pPr>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（采矿、选矿、尾矿部分）可行性研究报告编制项目</w:t>
      </w:r>
    </w:p>
    <w:p w14:paraId="193ADF00">
      <w:pPr>
        <w:jc w:val="center"/>
        <w:rPr>
          <w:rFonts w:hint="eastAsia" w:ascii="宋体" w:hAnsi="宋体" w:eastAsia="宋体" w:cs="宋体"/>
          <w:sz w:val="32"/>
          <w:szCs w:val="32"/>
          <w:highlight w:val="none"/>
        </w:rPr>
      </w:pPr>
      <w:r>
        <w:rPr>
          <w:rFonts w:hint="eastAsia" w:ascii="宋体" w:hAnsi="宋体" w:eastAsia="宋体" w:cs="宋体"/>
          <w:sz w:val="36"/>
          <w:szCs w:val="36"/>
          <w:highlight w:val="none"/>
        </w:rPr>
        <w:t>比选公告</w:t>
      </w:r>
    </w:p>
    <w:p w14:paraId="2DD3034B">
      <w:pPr>
        <w:ind w:firstLine="560" w:firstLineChars="200"/>
        <w:rPr>
          <w:rFonts w:hint="eastAsia" w:ascii="宋体" w:hAnsi="宋体" w:eastAsia="宋体" w:cs="宋体"/>
          <w:sz w:val="28"/>
          <w:szCs w:val="28"/>
          <w:highlight w:val="none"/>
        </w:rPr>
      </w:pPr>
    </w:p>
    <w:p w14:paraId="1F724584">
      <w:pPr>
        <w:widowControl/>
        <w:adjustRightInd w:val="0"/>
        <w:snapToGrid w:val="0"/>
        <w:spacing w:line="560" w:lineRule="exact"/>
        <w:ind w:firstLine="560" w:firstLineChars="200"/>
        <w:jc w:val="left"/>
        <w:rPr>
          <w:rFonts w:hint="eastAsia" w:ascii="宋体" w:hAnsi="宋体" w:eastAsia="宋体" w:cs="仿宋"/>
          <w:b/>
          <w:bCs/>
          <w:kern w:val="0"/>
          <w:sz w:val="28"/>
          <w:szCs w:val="28"/>
          <w:highlight w:val="none"/>
          <w14:ligatures w14:val="none"/>
        </w:rPr>
      </w:pPr>
      <w:r>
        <w:rPr>
          <w:rFonts w:hint="eastAsia" w:ascii="宋体" w:hAnsi="宋体" w:eastAsia="宋体" w:cs="Times New Roman"/>
          <w:color w:val="000000"/>
          <w:sz w:val="28"/>
          <w:szCs w:val="28"/>
          <w:highlight w:val="none"/>
          <w14:ligatures w14:val="none"/>
        </w:rPr>
        <w:t>本比选项目“梭罗沟金矿120万吨/年改扩建工程（采矿、选矿、尾矿部分）可行性研究报告编制项目”，项目业主为四川黄金股份有限公司，建设资金已落实。项目已具备比选条件</w:t>
      </w:r>
      <w:r>
        <w:rPr>
          <w:rFonts w:hint="eastAsia" w:ascii="宋体" w:hAnsi="宋体" w:eastAsia="宋体" w:cs="Times New Roman"/>
          <w:color w:val="000000"/>
          <w:sz w:val="28"/>
          <w:szCs w:val="28"/>
          <w:highlight w:val="none"/>
          <w:lang w:eastAsia="zh-CN"/>
          <w14:ligatures w14:val="none"/>
        </w:rPr>
        <w:t>，</w:t>
      </w:r>
      <w:r>
        <w:rPr>
          <w:rFonts w:hint="eastAsia" w:ascii="宋体" w:hAnsi="宋体" w:eastAsia="宋体" w:cs="Times New Roman"/>
          <w:color w:val="000000"/>
          <w:sz w:val="28"/>
          <w:szCs w:val="28"/>
          <w:highlight w:val="none"/>
          <w14:ligatures w14:val="none"/>
        </w:rPr>
        <w:t>现采用公开比选方式进行采购，符合本次比选要求的比选申请人可自主报名参加比选。</w:t>
      </w:r>
    </w:p>
    <w:p w14:paraId="13AC49A9">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一、项目概况与比选范围</w:t>
      </w:r>
      <w:bookmarkStart w:id="5" w:name="_GoBack"/>
      <w:bookmarkEnd w:id="5"/>
    </w:p>
    <w:p w14:paraId="5ADEFE6E">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1.控制价：本项目比选控制价为人民币 90万元（含税）。</w:t>
      </w:r>
    </w:p>
    <w:p w14:paraId="11CCF0C9">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投标报价超过控制价的，作废标处理。</w:t>
      </w:r>
    </w:p>
    <w:p w14:paraId="693923B1">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为防止恶意低价竞争，评标委员会将对恶意报价启动异常低价审查程序，比选申请人须在评审现场提供成本构成等合理性说明材料。经评审，申请人不能合理说明报价合理性且不能提供有效佐证材料的，做无效响应处理。具体异常低价审查规则详见比选文件第二章。</w:t>
      </w:r>
    </w:p>
    <w:p w14:paraId="7CA124C9">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2.项目概况与比选范围</w:t>
      </w:r>
    </w:p>
    <w:p w14:paraId="0BA9B120">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2.1项目名称：梭罗沟金矿120万吨/年改扩建工程（采矿、选矿、尾矿部分）可行性研究报告编制项目。</w:t>
      </w:r>
    </w:p>
    <w:p w14:paraId="7F5ACAA9">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2.2项目地点：四川省凉山彝族自治州木里藏族自治县梭罗沟。</w:t>
      </w:r>
    </w:p>
    <w:p w14:paraId="43907D59">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2.3服务内容：采矿和选矿工程、尾矿工程两部分建设方案论证及投资估算与经济评价，编制完成可行性研究报告；具体包含：采矿规模由60万吨/年提升至120万吨/年开采方案论证、选矿系统匹配性论证、尾矿库库容缺口及扩容方案论证、投资估算、财务及国民经济评价，报告深度满足国家、行业规范及业主内部审查要求。</w:t>
      </w:r>
    </w:p>
    <w:p w14:paraId="56F331A5">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2.4资金来源：企业自筹。</w:t>
      </w:r>
    </w:p>
    <w:p w14:paraId="77FB3A7F">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2.5项目周期：60日历天内完成可行性研究报告全部编制并提交完整正式成果，具体起止日期以签订的服务合同约定为准；日历天包含内部修改、配合业主内审修改时间。</w:t>
      </w:r>
    </w:p>
    <w:p w14:paraId="4BCB82AC">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ascii="宋体" w:hAnsi="宋体" w:eastAsia="宋体" w:cs="宋体"/>
          <w:kern w:val="0"/>
          <w:sz w:val="28"/>
          <w:szCs w:val="28"/>
          <w:highlight w:val="none"/>
          <w:lang w:val="en-US" w:eastAsia="zh-CN" w:bidi="ar-SA"/>
        </w:rPr>
        <w:t>3.</w:t>
      </w:r>
      <w:r>
        <w:rPr>
          <w:rFonts w:hint="eastAsia" w:ascii="宋体" w:hAnsi="宋体" w:eastAsia="宋体" w:cs="宋体"/>
          <w:kern w:val="0"/>
          <w:sz w:val="28"/>
          <w:szCs w:val="28"/>
          <w:highlight w:val="none"/>
          <w:lang w:val="en-US" w:eastAsia="zh-CN" w:bidi="ar-SA"/>
        </w:rPr>
        <w:t>质量标准：本项目执行国家、地方及行业现行的有关规范、规程和技术标准。</w:t>
      </w:r>
    </w:p>
    <w:p w14:paraId="736B5951">
      <w:pPr>
        <w:snapToGrid w:val="0"/>
        <w:spacing w:line="560" w:lineRule="exact"/>
        <w:ind w:firstLine="560" w:firstLineChars="200"/>
        <w:rPr>
          <w:rFonts w:ascii="宋体" w:hAnsi="宋体" w:eastAsia="宋体" w:cs="Times New Roman"/>
          <w:sz w:val="28"/>
          <w:szCs w:val="28"/>
          <w:highlight w:val="none"/>
          <w14:ligatures w14:val="none"/>
        </w:rPr>
      </w:pPr>
      <w:r>
        <w:rPr>
          <w:rFonts w:ascii="宋体" w:hAnsi="宋体" w:eastAsia="宋体" w:cs="Times New Roman"/>
          <w:sz w:val="28"/>
          <w:szCs w:val="28"/>
          <w:highlight w:val="none"/>
          <w14:ligatures w14:val="none"/>
        </w:rPr>
        <w:t>4.</w:t>
      </w:r>
      <w:r>
        <w:rPr>
          <w:rFonts w:hint="eastAsia" w:ascii="宋体" w:hAnsi="宋体" w:eastAsia="宋体" w:cs="宋体"/>
          <w:sz w:val="28"/>
          <w:szCs w:val="28"/>
          <w:highlight w:val="none"/>
          <w14:ligatures w14:val="none"/>
        </w:rPr>
        <w:t>成果要求：</w:t>
      </w:r>
      <w:r>
        <w:rPr>
          <w:rFonts w:hint="eastAsia" w:ascii="宋体" w:hAnsi="宋体" w:eastAsia="宋体" w:cs="Times New Roman"/>
          <w:sz w:val="28"/>
          <w:szCs w:val="28"/>
          <w:highlight w:val="none"/>
          <w14:ligatures w14:val="none"/>
        </w:rPr>
        <w:t>提交梭罗沟金矿120万吨/年改扩建工程（采矿、选矿、尾矿部分）可行性研究报告正式文本及附图、附件（纸质、电子文档），成果内容及深度应满足国家、行业现行有关标准规范和公司审查要求。</w:t>
      </w:r>
    </w:p>
    <w:p w14:paraId="6B12F652">
      <w:pPr>
        <w:snapToGrid w:val="0"/>
        <w:spacing w:line="560" w:lineRule="exact"/>
        <w:ind w:firstLine="560" w:firstLineChars="200"/>
        <w:rPr>
          <w:rFonts w:ascii="宋体" w:hAnsi="宋体" w:eastAsia="宋体" w:cs="Times New Roman"/>
          <w:sz w:val="28"/>
          <w:szCs w:val="28"/>
          <w:highlight w:val="none"/>
          <w14:ligatures w14:val="none"/>
        </w:rPr>
      </w:pPr>
      <w:r>
        <w:rPr>
          <w:rFonts w:hint="eastAsia" w:ascii="宋体" w:hAnsi="宋体" w:eastAsia="宋体" w:cs="Times New Roman"/>
          <w:sz w:val="28"/>
          <w:szCs w:val="28"/>
          <w:highlight w:val="none"/>
          <w14:ligatures w14:val="none"/>
        </w:rPr>
        <w:t>5.标段划分：本项目作为一个合同标段进行采购，中选人须全面负责本项目的所有内容。</w:t>
      </w:r>
    </w:p>
    <w:p w14:paraId="352F6813">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二、公开比选公告发布方式</w:t>
      </w:r>
    </w:p>
    <w:p w14:paraId="724D41A8">
      <w:pPr>
        <w:snapToGrid w:val="0"/>
        <w:spacing w:line="560" w:lineRule="exact"/>
        <w:ind w:firstLine="560" w:firstLineChars="200"/>
        <w:rPr>
          <w:rFonts w:ascii="宋体" w:hAnsi="宋体" w:eastAsia="宋体" w:cs="Times New Roman"/>
          <w:sz w:val="28"/>
          <w:szCs w:val="28"/>
          <w:highlight w:val="none"/>
          <w14:ligatures w14:val="none"/>
        </w:rPr>
      </w:pPr>
      <w:r>
        <w:rPr>
          <w:rFonts w:hint="eastAsia" w:ascii="宋体" w:hAnsi="宋体" w:eastAsia="宋体" w:cs="Times New Roman"/>
          <w:sz w:val="28"/>
          <w:szCs w:val="28"/>
          <w:highlight w:val="none"/>
          <w14:ligatures w14:val="none"/>
        </w:rPr>
        <w:t>本项目以公开比选的方式进行，比选公告在资源e采阳光招采平台（https://www.scrgjc.com/portal/home）发布。</w:t>
      </w:r>
    </w:p>
    <w:p w14:paraId="5D9694F8">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三、比选申请人资格要求</w:t>
      </w:r>
    </w:p>
    <w:p w14:paraId="34E35227">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1.本次比选要求比选申请人必须是经国家工商行政管理部门登记注册，具有独立法人资格的企业或事业单位，具备有效的营业执照或事业单位法人证书；</w:t>
      </w:r>
    </w:p>
    <w:p w14:paraId="1F0A13B1">
      <w:pPr>
        <w:snapToGrid w:val="0"/>
        <w:spacing w:line="560" w:lineRule="exact"/>
        <w:ind w:firstLine="560" w:firstLineChars="200"/>
        <w:jc w:val="left"/>
        <w:rPr>
          <w:rFonts w:ascii="宋体" w:hAnsi="宋体" w:eastAsia="宋体" w:cs="宋体"/>
          <w:sz w:val="28"/>
          <w:szCs w:val="28"/>
          <w:highlight w:val="none"/>
          <w14:ligatures w14:val="none"/>
        </w:rPr>
      </w:pPr>
      <w:r>
        <w:rPr>
          <w:rFonts w:ascii="宋体" w:hAnsi="宋体" w:eastAsia="宋体" w:cs="Times New Roman"/>
          <w:sz w:val="28"/>
          <w:szCs w:val="28"/>
          <w:highlight w:val="none"/>
          <w14:ligatures w14:val="none"/>
        </w:rPr>
        <w:t>2.资质要求：</w:t>
      </w:r>
      <w:r>
        <w:rPr>
          <w:rFonts w:hint="eastAsia" w:ascii="宋体" w:hAnsi="宋体" w:eastAsia="宋体" w:cs="宋体"/>
          <w:sz w:val="28"/>
          <w:szCs w:val="28"/>
          <w:highlight w:val="none"/>
          <w14:ligatures w14:val="none"/>
        </w:rPr>
        <w:t>比选申请人须具备工程设计冶金行业或冶金矿山工程专业甲级资质，或工程咨询单位甲级资信证书（资信专业包含冶金、有色或矿山）；上述证书须在比选截止时间当日处于有效期内。</w:t>
      </w:r>
    </w:p>
    <w:p w14:paraId="7200732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3.比选申请人企业近五年（自2021年1月1日起至申请截止日）内，应至少承担过2个类似项目（类似项目指：单项合同金额不低于45万元的矿山工程（含采矿、选矿或尾矿）可行性研究报告编制项目）（业绩证明材料指合同或业主出具的竣工验收证明文件复印件）；</w:t>
      </w:r>
    </w:p>
    <w:p w14:paraId="17C87D1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4.人员要求：</w:t>
      </w:r>
    </w:p>
    <w:p w14:paraId="455DA042">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4.1 拟投入项目负责人、技术负责人须为比选申请人自有人员，并具备采矿、选矿或尾矿相关专业高级技术职称，或注册咨询工程师（投资）资格。</w:t>
      </w:r>
    </w:p>
    <w:p w14:paraId="751D5D8D">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4.2 项目团队专业技术人员须配齐采矿、选矿、尾矿、总图运输、给排水、电气、技术经济等专业人员；各岗位人员须具备相应专业中级及以上职称。</w:t>
      </w:r>
    </w:p>
    <w:p w14:paraId="1AB95F40">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4.3 上述人员所持相关证书须在比选截止时间当日处于有效期内，人员配置须满足本项目实施要求。</w:t>
      </w:r>
    </w:p>
    <w:p w14:paraId="421EC768">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4.4 前述自有人员身份，以比选申请人为其连续缴纳近6个月社会保险的记录，或比选申请人与其签订的劳动合同为认定依据。</w:t>
      </w:r>
    </w:p>
    <w:p w14:paraId="04B6223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5.信誉要求：要求申请人信誉良好，没有处于被责令停业，比选资格被取消，财产被接管、冻结、破产状态；近三年内（自 2023 年 1 月 1 日起至申请截止日）没有骗取中标、严重违约及重大工程质量、安全事故。（以上内容申请人应附相应证明材料或提供书面承诺函）；</w:t>
      </w:r>
    </w:p>
    <w:p w14:paraId="506A714A">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6.申请人当前未被行政主管部门因不良行为记录暂停或取消比选资格，且未在“信用中国”网站（http://www.creditchina.gov.cn/）被列为失信被执行人；同时，申请人不存在被责令停业、比选资格被取消、财产被接管、冻结或处于破产状态的情况。（申请人须提供“信用中国”网站相关查询证明材料作为本声明的佐证。）</w:t>
      </w:r>
    </w:p>
    <w:p w14:paraId="20695E38">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7.本次比选不接受联合体比选申请；</w:t>
      </w:r>
    </w:p>
    <w:p w14:paraId="09A2BD2C">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8.资格审查方式：资格后审。</w:t>
      </w:r>
    </w:p>
    <w:p w14:paraId="1D2ECCB2">
      <w:pPr>
        <w:adjustRightInd w:val="0"/>
        <w:snapToGrid w:val="0"/>
        <w:spacing w:line="560" w:lineRule="exact"/>
        <w:ind w:firstLine="562" w:firstLineChars="200"/>
        <w:jc w:val="left"/>
        <w:rPr>
          <w:rFonts w:ascii="宋体" w:hAnsi="宋体" w:eastAsia="宋体" w:cs="宋体"/>
          <w:kern w:val="0"/>
          <w:sz w:val="28"/>
          <w:szCs w:val="28"/>
          <w:highlight w:val="none"/>
          <w14:ligatures w14:val="none"/>
        </w:rPr>
      </w:pPr>
      <w:r>
        <w:rPr>
          <w:rFonts w:hint="eastAsia" w:ascii="宋体" w:hAnsi="宋体" w:eastAsia="宋体" w:cs="仿宋"/>
          <w:b/>
          <w:bCs/>
          <w:kern w:val="0"/>
          <w:sz w:val="28"/>
          <w:szCs w:val="28"/>
          <w:highlight w:val="none"/>
          <w14:ligatures w14:val="none"/>
        </w:rPr>
        <w:t>四、申请人资格的限制条件</w:t>
      </w:r>
    </w:p>
    <w:p w14:paraId="28578F9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符合以下任一情况的机构不得参加本次比选：</w:t>
      </w:r>
    </w:p>
    <w:p w14:paraId="105ABB52">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color w:val="000000"/>
          <w:kern w:val="0"/>
          <w:sz w:val="28"/>
          <w:szCs w:val="28"/>
          <w:highlight w:val="none"/>
          <w:lang w:val="en-US" w:eastAsia="zh-CN" w:bidi="ar-SA"/>
        </w:rPr>
        <w:t>1.处于市场禁入期内或限制期内的机构不能参加申请；</w:t>
      </w:r>
    </w:p>
    <w:p w14:paraId="61DC5A38">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2.申请人虽未被市场禁入或限制，但其从业人员被实施市场禁入或限制措施的，该人员在其禁入或限制期内不得作为从业人员参与本次比选；</w:t>
      </w:r>
    </w:p>
    <w:p w14:paraId="14B5C37F">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3.申请机构、其法定代表人或控股股东存在严重失信行为，已被列入失信被执行人名单；</w:t>
      </w:r>
    </w:p>
    <w:p w14:paraId="5240F8F0">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4.申请人在比选过程中存在弄虚作假行为，一经查实，将取消其参与资格。</w:t>
      </w:r>
    </w:p>
    <w:p w14:paraId="40339BB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弄虚作假行为包括但不限于：</w:t>
      </w:r>
    </w:p>
    <w:p w14:paraId="4C49BADD">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（1）使用伪造、变造的资格证书、证明材料或印鉴参与比选；</w:t>
      </w:r>
    </w:p>
    <w:p w14:paraId="24B4EF98">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（2）业绩材料存在伪造或虚报情形；</w:t>
      </w:r>
    </w:p>
    <w:p w14:paraId="6110B6B2">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（3）虚构主要负责人或主要技术人员简历或证明材料，或中选后无正当理由（不可抗力除外）未按承诺配备相应人员；</w:t>
      </w:r>
    </w:p>
    <w:p w14:paraId="1AD78776">
      <w:pPr>
        <w:widowControl/>
        <w:snapToGrid w:val="0"/>
        <w:spacing w:before="100" w:beforeAutospacing="0" w:after="100" w:afterAutospacing="0" w:line="560" w:lineRule="exact"/>
        <w:ind w:firstLine="560" w:firstLineChars="200"/>
        <w:jc w:val="left"/>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（4）提供虚假信用状况信息；</w:t>
      </w:r>
    </w:p>
    <w:p w14:paraId="6DCA20D1">
      <w:pPr>
        <w:widowControl/>
        <w:snapToGrid w:val="0"/>
        <w:spacing w:before="100" w:beforeAutospacing="0" w:after="100" w:afterAutospacing="0" w:line="560" w:lineRule="exact"/>
        <w:ind w:firstLine="560" w:firstLineChars="200"/>
        <w:jc w:val="left"/>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（5）隐瞒比选文件要求披露的信息，或提供其他虚假、引人误解的内容；</w:t>
      </w:r>
    </w:p>
    <w:p w14:paraId="7E801EA5">
      <w:pPr>
        <w:adjustRightInd w:val="0"/>
        <w:ind w:firstLine="562"/>
        <w:rPr>
          <w:rFonts w:ascii="宋体" w:hAnsi="宋体" w:eastAsia="宋体" w:cs="宋体"/>
          <w:kern w:val="0"/>
          <w:sz w:val="28"/>
          <w:szCs w:val="28"/>
          <w:highlight w:val="none"/>
          <w14:ligatures w14:val="none"/>
        </w:rPr>
      </w:pPr>
      <w:r>
        <w:rPr>
          <w:rFonts w:hint="eastAsia" w:ascii="宋体" w:hAnsi="宋体" w:eastAsia="宋体" w:cs="宋体"/>
          <w:kern w:val="0"/>
          <w:sz w:val="28"/>
          <w:szCs w:val="28"/>
          <w:highlight w:val="none"/>
          <w14:ligatures w14:val="none"/>
        </w:rPr>
        <w:t>（6）法律法规、规章认定的其他弄虚作假行为。</w:t>
      </w:r>
    </w:p>
    <w:p w14:paraId="627ABD30">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五、比选文件的获取</w:t>
      </w:r>
    </w:p>
    <w:p w14:paraId="55F1E36E">
      <w:pPr>
        <w:widowControl/>
        <w:snapToGrid w:val="0"/>
        <w:spacing w:before="100" w:beforeAutospacing="1" w:after="100" w:afterAutospacing="1"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1.比选文件获取时限：</w:t>
      </w:r>
    </w:p>
    <w:p w14:paraId="34599E61">
      <w:pPr>
        <w:widowControl/>
        <w:snapToGrid w:val="0"/>
        <w:spacing w:before="100" w:beforeAutospacing="1" w:after="100" w:afterAutospacing="1"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1.1 比选文件获取的起止时间，以本项目采购公告载明的时间为准；比选人发布更正公告调整获取时间的，以更正公告载明的时间为准。公告与更正公告内容不一致的，以最后发布的更正公告为准。</w:t>
      </w:r>
    </w:p>
    <w:p w14:paraId="6F352D85">
      <w:pPr>
        <w:widowControl/>
        <w:snapToGrid w:val="0"/>
        <w:spacing w:before="100" w:beforeAutospacing="1" w:after="100" w:afterAutospacing="1"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1.2 比选文件获取时限与资源 e 采阳光招采平台公告的报名起止时间同步，比选申请人须在公告载明的获取时限内完成以下操作：</w:t>
      </w:r>
    </w:p>
    <w:p w14:paraId="4BC79C21">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（1）通过招采平台完成本项目的报名登记；</w:t>
      </w:r>
    </w:p>
    <w:p w14:paraId="0615ED1F">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（2）通过招采平台下载获取完整的比选文件。</w:t>
      </w:r>
    </w:p>
    <w:p w14:paraId="0F274080">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1.3公告载明的获取时限截止后，招采平台将自动关闭比选文件下载通道及报名入口，比选人及平台不再受理任何形式的文件获取申请，且不接受任何逾期获取文件的解释或免责申请。</w:t>
      </w:r>
    </w:p>
    <w:p w14:paraId="5CB375B5">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2.获取方式与要求</w:t>
      </w:r>
    </w:p>
    <w:p w14:paraId="7256D9D2">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2.1 比选人应在比选文件获取时间开始前，将本项目完整的电子比选文件上传至招采平台（https://www.scrgjc.com/portal/home），文件向比选申请人免费提供，不收取任何费用（平台运营方收取的CA认证费用除外，具体以平台规则为准）。</w:t>
      </w:r>
    </w:p>
    <w:p w14:paraId="58FA8BE8">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2.2 比选申请人须自行登录招采平台，按以下流程操作：</w:t>
      </w:r>
    </w:p>
    <w:p w14:paraId="720C39A2">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（1）登录网址 https://www.scrgjc.com/portal/home；</w:t>
      </w:r>
    </w:p>
    <w:p w14:paraId="2C439B1E">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（2）完成供应商注册并缴纳CA认证费用（800元/年，以平台最新公告为准）；对于已在网址注册并缴纳CA认证费用的供应商，点击【招标采购项目→可参与的项目】报名参与本项目；</w:t>
      </w:r>
    </w:p>
    <w:p w14:paraId="653AA64C">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（3）完成本项目的报名登记后，通过平台下载获取比选文件（含正文及配套附件）。</w:t>
      </w:r>
    </w:p>
    <w:p w14:paraId="6EB6675D">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2.3 比选申请人应自行检查下载文件的完整性、可读性。因网络故障、自身操作不当、终端设备问题等非比选人原因导致文件无法下载、损坏或缺失的，由比选申请人自行承担责任。</w:t>
      </w:r>
    </w:p>
    <w:p w14:paraId="450B24D0">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2.4 比选申请人通过招采平台下载获取比选文件的记录，视为其获取文件的唯一有效凭证；未在获取时限内完成下载获取的，视为未按规定获取比选文件。</w:t>
      </w:r>
    </w:p>
    <w:p w14:paraId="0E22D44A">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2.5 未按本条款规定获取比选文件的比选申请人，不具备本次采购活动的参与资格。比选人将拒绝接收其提交的响应文件，且该比选申请人不享有对本项目比选文件及采购活动提起质疑、投诉的权利。</w:t>
      </w:r>
    </w:p>
    <w:p w14:paraId="3179906C">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3.文件版本冲突处理</w:t>
      </w:r>
    </w:p>
    <w:p w14:paraId="02979FC3">
      <w:pPr>
        <w:widowControl/>
        <w:snapToGrid w:val="0"/>
        <w:spacing w:before="0" w:beforeAutospacing="0" w:after="0" w:afterAutospacing="0" w:line="560" w:lineRule="exact"/>
        <w:ind w:firstLine="560" w:firstLineChars="200"/>
        <w:jc w:val="both"/>
        <w:rPr>
          <w:rFonts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平台下载的比选文件含正文（PDF+Word）及配套附件多格式文档；正文不同格式内容冲突以 PDF 版本为准，附件多版本冲突同样以 PDF 版附件为准。</w:t>
      </w:r>
    </w:p>
    <w:p w14:paraId="5E67E214">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六、比选申请文件的递交</w:t>
      </w:r>
    </w:p>
    <w:p w14:paraId="4C0C759B">
      <w:pPr>
        <w:snapToGrid w:val="0"/>
        <w:spacing w:line="560" w:lineRule="exact"/>
        <w:ind w:firstLine="560" w:firstLineChars="200"/>
        <w:rPr>
          <w:rFonts w:ascii="宋体" w:hAnsi="宋体" w:eastAsia="宋体" w:cs="Times New Roman"/>
          <w:color w:val="000000"/>
          <w:sz w:val="28"/>
          <w:szCs w:val="28"/>
          <w:highlight w:val="none"/>
          <w14:ligatures w14:val="none"/>
        </w:rPr>
      </w:pPr>
      <w:r>
        <w:rPr>
          <w:rFonts w:hint="eastAsia" w:ascii="宋体" w:hAnsi="宋体" w:eastAsia="宋体" w:cs="Times New Roman"/>
          <w:color w:val="000000"/>
          <w:sz w:val="28"/>
          <w:szCs w:val="28"/>
          <w:highlight w:val="none"/>
          <w14:ligatures w14:val="none"/>
        </w:rPr>
        <w:t>1.比选申请文件应由比选申请人法定代表人或经其正式授权的代理人在“比选文件”要求的地方签字并加盖公章，比选申请文件密封封装，并注明项目名称、比选申请人名称，密封处均应贴封条，并加盖比选申请人公章或法定代表人印章；</w:t>
      </w:r>
    </w:p>
    <w:p w14:paraId="1A5C4532">
      <w:pPr>
        <w:snapToGrid w:val="0"/>
        <w:spacing w:line="560" w:lineRule="exact"/>
        <w:ind w:firstLine="560" w:firstLineChars="200"/>
        <w:rPr>
          <w:rFonts w:ascii="宋体" w:hAnsi="宋体" w:eastAsia="宋体" w:cs="Times New Roman"/>
          <w:color w:val="000000"/>
          <w:sz w:val="28"/>
          <w:szCs w:val="28"/>
          <w:highlight w:val="none"/>
          <w14:ligatures w14:val="none"/>
        </w:rPr>
      </w:pPr>
      <w:r>
        <w:rPr>
          <w:rFonts w:hint="eastAsia" w:ascii="宋体" w:hAnsi="宋体" w:eastAsia="宋体" w:cs="Times New Roman"/>
          <w:color w:val="000000"/>
          <w:sz w:val="28"/>
          <w:szCs w:val="28"/>
          <w:highlight w:val="none"/>
          <w14:ligatures w14:val="none"/>
        </w:rPr>
        <w:t>2.密封信封上应注明“</w:t>
      </w:r>
      <w:r>
        <w:rPr>
          <w:rFonts w:hint="eastAsia" w:ascii="宋体" w:hAnsi="宋体" w:eastAsia="宋体" w:cs="Times New Roman"/>
          <w:color w:val="000000"/>
          <w:sz w:val="28"/>
          <w:szCs w:val="28"/>
          <w:highlight w:val="none"/>
          <w:u w:val="single"/>
          <w14:ligatures w14:val="none"/>
        </w:rPr>
        <w:t>于2026年 1</w:t>
      </w:r>
      <w:r>
        <w:rPr>
          <w:rFonts w:hint="eastAsia" w:ascii="宋体" w:hAnsi="宋体" w:eastAsia="宋体" w:cs="Times New Roman"/>
          <w:color w:val="000000"/>
          <w:sz w:val="28"/>
          <w:szCs w:val="28"/>
          <w:highlight w:val="none"/>
          <w:u w:val="single"/>
          <w:lang w:val="en-US" w:eastAsia="zh-CN"/>
          <w14:ligatures w14:val="none"/>
        </w:rPr>
        <w:t>1</w:t>
      </w:r>
      <w:r>
        <w:rPr>
          <w:rFonts w:hint="eastAsia" w:ascii="宋体" w:hAnsi="宋体" w:eastAsia="宋体" w:cs="Times New Roman"/>
          <w:color w:val="000000"/>
          <w:sz w:val="28"/>
          <w:szCs w:val="28"/>
          <w:highlight w:val="none"/>
          <w:u w:val="single"/>
          <w14:ligatures w14:val="none"/>
        </w:rPr>
        <w:t xml:space="preserve"> 月 </w:t>
      </w:r>
      <w:r>
        <w:rPr>
          <w:rFonts w:hint="eastAsia" w:ascii="宋体" w:hAnsi="宋体" w:eastAsia="宋体" w:cs="Times New Roman"/>
          <w:color w:val="000000"/>
          <w:sz w:val="28"/>
          <w:szCs w:val="28"/>
          <w:highlight w:val="none"/>
          <w:u w:val="single"/>
          <w:lang w:val="en-US" w:eastAsia="zh-CN"/>
          <w14:ligatures w14:val="none"/>
        </w:rPr>
        <w:t>10</w:t>
      </w:r>
      <w:r>
        <w:rPr>
          <w:rFonts w:hint="eastAsia" w:ascii="宋体" w:hAnsi="宋体" w:eastAsia="宋体" w:cs="Times New Roman"/>
          <w:color w:val="000000"/>
          <w:sz w:val="28"/>
          <w:szCs w:val="28"/>
          <w:highlight w:val="none"/>
          <w:u w:val="single"/>
          <w14:ligatures w14:val="none"/>
        </w:rPr>
        <w:t xml:space="preserve"> 日上午10:00时之前不准启封</w:t>
      </w:r>
      <w:r>
        <w:rPr>
          <w:rFonts w:hint="eastAsia" w:ascii="宋体" w:hAnsi="宋体" w:eastAsia="宋体" w:cs="Times New Roman"/>
          <w:color w:val="000000"/>
          <w:sz w:val="28"/>
          <w:szCs w:val="28"/>
          <w:highlight w:val="none"/>
          <w14:ligatures w14:val="none"/>
        </w:rPr>
        <w:t>”字样；</w:t>
      </w:r>
    </w:p>
    <w:p w14:paraId="79239AE9">
      <w:pPr>
        <w:snapToGrid w:val="0"/>
        <w:spacing w:line="560" w:lineRule="exact"/>
        <w:ind w:firstLine="560" w:firstLineChars="200"/>
        <w:rPr>
          <w:rFonts w:ascii="宋体" w:hAnsi="宋体" w:eastAsia="宋体" w:cs="Times New Roman"/>
          <w:color w:val="000000"/>
          <w:sz w:val="28"/>
          <w:szCs w:val="28"/>
          <w:highlight w:val="none"/>
          <w14:ligatures w14:val="none"/>
        </w:rPr>
      </w:pPr>
      <w:r>
        <w:rPr>
          <w:rFonts w:hint="eastAsia" w:ascii="宋体" w:hAnsi="宋体" w:eastAsia="宋体" w:cs="Times New Roman"/>
          <w:color w:val="000000"/>
          <w:sz w:val="28"/>
          <w:szCs w:val="28"/>
          <w:highlight w:val="none"/>
          <w14:ligatures w14:val="none"/>
        </w:rPr>
        <w:t>3.比选申请文件须安排专人当面递交。比选申请人按上述规定进行密封和标记后，将比选申请文件及电子档U盘按照比选须知中注明的地址、时间送达；</w:t>
      </w:r>
    </w:p>
    <w:p w14:paraId="496C7417">
      <w:pPr>
        <w:snapToGrid w:val="0"/>
        <w:spacing w:line="560" w:lineRule="exact"/>
        <w:ind w:firstLine="560" w:firstLineChars="200"/>
        <w:rPr>
          <w:rFonts w:ascii="宋体" w:hAnsi="宋体" w:eastAsia="宋体" w:cs="Times New Roman"/>
          <w:color w:val="000000"/>
          <w:sz w:val="28"/>
          <w:szCs w:val="28"/>
          <w:highlight w:val="none"/>
          <w14:ligatures w14:val="none"/>
        </w:rPr>
      </w:pPr>
      <w:r>
        <w:rPr>
          <w:rFonts w:hint="eastAsia" w:ascii="宋体" w:hAnsi="宋体" w:eastAsia="宋体" w:cs="Times New Roman"/>
          <w:color w:val="000000"/>
          <w:sz w:val="28"/>
          <w:szCs w:val="28"/>
          <w:highlight w:val="none"/>
          <w14:ligatures w14:val="none"/>
        </w:rPr>
        <w:t>4.比选申请人如未按上述要求标记、密封，其比选申请文件将被拒绝。</w:t>
      </w:r>
    </w:p>
    <w:p w14:paraId="7735853D">
      <w:pPr>
        <w:snapToGrid w:val="0"/>
        <w:spacing w:line="560" w:lineRule="exact"/>
        <w:ind w:firstLine="560" w:firstLineChars="200"/>
        <w:rPr>
          <w:rFonts w:ascii="宋体" w:hAnsi="宋体" w:eastAsia="宋体" w:cs="Times New Roman"/>
          <w:color w:val="000000"/>
          <w:sz w:val="28"/>
          <w:szCs w:val="28"/>
          <w:highlight w:val="none"/>
          <w14:ligatures w14:val="none"/>
        </w:rPr>
      </w:pPr>
      <w:bookmarkStart w:id="0" w:name="_Toc282421679"/>
      <w:r>
        <w:rPr>
          <w:rFonts w:hint="eastAsia" w:ascii="宋体" w:hAnsi="宋体" w:eastAsia="宋体" w:cs="Times New Roman"/>
          <w:color w:val="000000"/>
          <w:sz w:val="28"/>
          <w:szCs w:val="28"/>
          <w:highlight w:val="none"/>
          <w14:ligatures w14:val="none"/>
        </w:rPr>
        <w:t>5.送件地址</w:t>
      </w:r>
      <w:bookmarkEnd w:id="0"/>
      <w:r>
        <w:rPr>
          <w:rFonts w:hint="eastAsia" w:ascii="宋体" w:hAnsi="宋体" w:eastAsia="宋体" w:cs="Times New Roman"/>
          <w:color w:val="000000"/>
          <w:sz w:val="28"/>
          <w:szCs w:val="28"/>
          <w:highlight w:val="none"/>
          <w14:ligatures w14:val="none"/>
        </w:rPr>
        <w:t>：成都市武侯区天泰路145号特拉克斯国际广场南楼3楼四川黄金股份有限公司成都分公司；收件人：彭文君；联系电话：15202211920。</w:t>
      </w:r>
    </w:p>
    <w:p w14:paraId="43E06F2E">
      <w:pPr>
        <w:widowControl/>
        <w:adjustRightInd w:val="0"/>
        <w:snapToGrid w:val="0"/>
        <w:spacing w:line="560" w:lineRule="exact"/>
        <w:ind w:firstLine="562" w:firstLineChars="200"/>
        <w:jc w:val="left"/>
        <w:rPr>
          <w:rFonts w:ascii="宋体" w:hAnsi="宋体" w:eastAsia="宋体" w:cs="仿宋"/>
          <w:b/>
          <w:bCs/>
          <w:kern w:val="0"/>
          <w:sz w:val="28"/>
          <w:szCs w:val="28"/>
          <w:highlight w:val="none"/>
          <w14:ligatures w14:val="none"/>
        </w:rPr>
      </w:pPr>
      <w:r>
        <w:rPr>
          <w:rFonts w:hint="eastAsia" w:ascii="宋体" w:hAnsi="宋体" w:eastAsia="宋体" w:cs="仿宋"/>
          <w:b/>
          <w:bCs/>
          <w:kern w:val="0"/>
          <w:sz w:val="28"/>
          <w:szCs w:val="28"/>
          <w:highlight w:val="none"/>
          <w14:ligatures w14:val="none"/>
        </w:rPr>
        <w:t>七、开选时间</w:t>
      </w:r>
    </w:p>
    <w:p w14:paraId="3628D5EC">
      <w:pPr>
        <w:snapToGrid w:val="0"/>
        <w:spacing w:line="560" w:lineRule="exact"/>
        <w:ind w:firstLine="560" w:firstLineChars="200"/>
        <w:rPr>
          <w:rFonts w:ascii="Times New Roman" w:hAnsi="Times New Roman" w:eastAsia="宋体" w:cs="Times New Roman"/>
          <w:szCs w:val="20"/>
          <w:highlight w:val="none"/>
          <w14:ligatures w14:val="none"/>
        </w:rPr>
      </w:pPr>
      <w:r>
        <w:rPr>
          <w:rFonts w:hint="eastAsia" w:ascii="宋体" w:hAnsi="宋体" w:eastAsia="宋体" w:cs="Times New Roman"/>
          <w:sz w:val="28"/>
          <w:szCs w:val="28"/>
          <w:highlight w:val="none"/>
          <w:u w:val="single"/>
          <w14:ligatures w14:val="none"/>
        </w:rPr>
        <w:t>2026年 1</w:t>
      </w:r>
      <w:r>
        <w:rPr>
          <w:rFonts w:hint="eastAsia" w:ascii="宋体" w:hAnsi="宋体" w:eastAsia="宋体" w:cs="Times New Roman"/>
          <w:sz w:val="28"/>
          <w:szCs w:val="28"/>
          <w:highlight w:val="none"/>
          <w:u w:val="single"/>
          <w:lang w:val="en-US" w:eastAsia="zh-CN"/>
          <w14:ligatures w14:val="none"/>
        </w:rPr>
        <w:t>1</w:t>
      </w:r>
      <w:r>
        <w:rPr>
          <w:rFonts w:hint="eastAsia" w:ascii="宋体" w:hAnsi="宋体" w:eastAsia="宋体" w:cs="Times New Roman"/>
          <w:sz w:val="28"/>
          <w:szCs w:val="28"/>
          <w:highlight w:val="none"/>
          <w:u w:val="single"/>
          <w14:ligatures w14:val="none"/>
        </w:rPr>
        <w:t xml:space="preserve"> 月 </w:t>
      </w:r>
      <w:r>
        <w:rPr>
          <w:rFonts w:hint="eastAsia" w:ascii="宋体" w:hAnsi="宋体" w:eastAsia="宋体" w:cs="Times New Roman"/>
          <w:sz w:val="28"/>
          <w:szCs w:val="28"/>
          <w:highlight w:val="none"/>
          <w:u w:val="single"/>
          <w:lang w:val="en-US" w:eastAsia="zh-CN"/>
          <w14:ligatures w14:val="none"/>
        </w:rPr>
        <w:t>10</w:t>
      </w:r>
      <w:r>
        <w:rPr>
          <w:rFonts w:hint="eastAsia" w:ascii="宋体" w:hAnsi="宋体" w:eastAsia="宋体" w:cs="Times New Roman"/>
          <w:sz w:val="28"/>
          <w:szCs w:val="28"/>
          <w:highlight w:val="none"/>
          <w:u w:val="single"/>
          <w14:ligatures w14:val="none"/>
        </w:rPr>
        <w:t xml:space="preserve"> 日上午10时00分（北京时间）</w:t>
      </w:r>
      <w:r>
        <w:rPr>
          <w:rFonts w:hint="eastAsia" w:ascii="宋体" w:hAnsi="宋体" w:eastAsia="宋体" w:cs="Times New Roman"/>
          <w:sz w:val="28"/>
          <w:szCs w:val="28"/>
          <w:highlight w:val="none"/>
          <w14:ligatures w14:val="none"/>
        </w:rPr>
        <w:t>。</w:t>
      </w:r>
    </w:p>
    <w:p w14:paraId="0450962F">
      <w:pPr>
        <w:widowControl/>
        <w:adjustRightInd w:val="0"/>
        <w:snapToGrid w:val="0"/>
        <w:spacing w:line="560" w:lineRule="exact"/>
        <w:ind w:firstLine="562" w:firstLineChars="200"/>
        <w:jc w:val="left"/>
        <w:rPr>
          <w:rFonts w:ascii="宋体" w:hAnsi="宋体" w:eastAsia="宋体" w:cs="仿宋"/>
          <w:b/>
          <w:kern w:val="0"/>
          <w:sz w:val="28"/>
          <w:szCs w:val="28"/>
          <w:highlight w:val="none"/>
          <w14:ligatures w14:val="none"/>
        </w:rPr>
      </w:pPr>
      <w:r>
        <w:rPr>
          <w:rFonts w:hint="eastAsia" w:ascii="宋体" w:hAnsi="宋体" w:eastAsia="宋体" w:cs="仿宋"/>
          <w:b/>
          <w:kern w:val="0"/>
          <w:sz w:val="28"/>
          <w:szCs w:val="28"/>
          <w:highlight w:val="none"/>
          <w14:ligatures w14:val="none"/>
        </w:rPr>
        <w:t>八、联系方式</w:t>
      </w:r>
    </w:p>
    <w:p w14:paraId="22CC80BD">
      <w:pPr>
        <w:snapToGrid w:val="0"/>
        <w:spacing w:line="560" w:lineRule="exact"/>
        <w:ind w:firstLine="560" w:firstLineChars="200"/>
        <w:rPr>
          <w:rFonts w:ascii="宋体" w:hAnsi="宋体" w:eastAsia="宋体" w:cs="Times New Roman"/>
          <w:color w:val="000000"/>
          <w:sz w:val="28"/>
          <w:szCs w:val="28"/>
          <w:highlight w:val="none"/>
          <w14:ligatures w14:val="none"/>
        </w:rPr>
      </w:pPr>
      <w:bookmarkStart w:id="1" w:name="_Toc282421684"/>
      <w:r>
        <w:rPr>
          <w:rFonts w:hint="eastAsia" w:ascii="宋体" w:hAnsi="宋体" w:eastAsia="宋体" w:cs="Times New Roman"/>
          <w:color w:val="000000"/>
          <w:sz w:val="28"/>
          <w:szCs w:val="28"/>
          <w:highlight w:val="none"/>
          <w14:ligatures w14:val="none"/>
        </w:rPr>
        <w:t>比选人：</w:t>
      </w:r>
      <w:bookmarkEnd w:id="1"/>
      <w:r>
        <w:rPr>
          <w:rFonts w:hint="eastAsia" w:ascii="宋体" w:hAnsi="宋体" w:eastAsia="宋体" w:cs="Times New Roman"/>
          <w:color w:val="000000"/>
          <w:sz w:val="28"/>
          <w:szCs w:val="28"/>
          <w:highlight w:val="none"/>
          <w14:ligatures w14:val="none"/>
        </w:rPr>
        <w:t>四川黄金股份有限公司</w:t>
      </w:r>
    </w:p>
    <w:p w14:paraId="372571A6">
      <w:pPr>
        <w:snapToGrid w:val="0"/>
        <w:spacing w:line="560" w:lineRule="exact"/>
        <w:ind w:firstLine="560" w:firstLineChars="200"/>
        <w:rPr>
          <w:rFonts w:ascii="宋体" w:hAnsi="宋体" w:eastAsia="宋体" w:cs="Times New Roman"/>
          <w:color w:val="000000"/>
          <w:sz w:val="28"/>
          <w:szCs w:val="28"/>
          <w:highlight w:val="none"/>
          <w14:ligatures w14:val="none"/>
        </w:rPr>
      </w:pPr>
      <w:bookmarkStart w:id="2" w:name="_Toc282421685"/>
      <w:r>
        <w:rPr>
          <w:rFonts w:hint="eastAsia" w:ascii="宋体" w:hAnsi="宋体" w:eastAsia="宋体" w:cs="Times New Roman"/>
          <w:color w:val="000000"/>
          <w:sz w:val="28"/>
          <w:szCs w:val="28"/>
          <w:highlight w:val="none"/>
          <w14:ligatures w14:val="none"/>
        </w:rPr>
        <w:t>联系地址：</w:t>
      </w:r>
      <w:bookmarkEnd w:id="2"/>
      <w:r>
        <w:rPr>
          <w:rFonts w:hint="eastAsia" w:ascii="宋体" w:hAnsi="宋体" w:eastAsia="宋体" w:cs="Times New Roman"/>
          <w:color w:val="000000"/>
          <w:sz w:val="28"/>
          <w:szCs w:val="28"/>
          <w:highlight w:val="none"/>
          <w14:ligatures w14:val="none"/>
        </w:rPr>
        <w:t>成都市武侯区天泰路145号特拉克斯国际广场南楼3楼</w:t>
      </w:r>
    </w:p>
    <w:p w14:paraId="56A79196">
      <w:pPr>
        <w:snapToGrid w:val="0"/>
        <w:spacing w:line="560" w:lineRule="exact"/>
        <w:ind w:firstLine="560" w:firstLineChars="200"/>
        <w:rPr>
          <w:rFonts w:ascii="宋体" w:hAnsi="宋体" w:eastAsia="宋体" w:cs="Times New Roman"/>
          <w:color w:val="000000"/>
          <w:sz w:val="28"/>
          <w:szCs w:val="28"/>
          <w:highlight w:val="none"/>
          <w14:ligatures w14:val="none"/>
        </w:rPr>
      </w:pPr>
      <w:bookmarkStart w:id="3" w:name="_Toc282421686"/>
      <w:r>
        <w:rPr>
          <w:rFonts w:hint="eastAsia" w:ascii="宋体" w:hAnsi="宋体" w:eastAsia="宋体" w:cs="Times New Roman"/>
          <w:color w:val="000000"/>
          <w:sz w:val="28"/>
          <w:szCs w:val="28"/>
          <w:highlight w:val="none"/>
          <w14:ligatures w14:val="none"/>
        </w:rPr>
        <w:t>联系人：</w:t>
      </w:r>
      <w:bookmarkEnd w:id="3"/>
      <w:r>
        <w:rPr>
          <w:rFonts w:hint="eastAsia" w:ascii="宋体" w:hAnsi="宋体" w:eastAsia="宋体" w:cs="Times New Roman"/>
          <w:color w:val="000000"/>
          <w:sz w:val="28"/>
          <w:szCs w:val="28"/>
          <w:highlight w:val="none"/>
          <w14:ligatures w14:val="none"/>
        </w:rPr>
        <w:t>彭文君</w:t>
      </w:r>
    </w:p>
    <w:p w14:paraId="4BE517F7">
      <w:pPr>
        <w:snapToGrid w:val="0"/>
        <w:spacing w:line="560" w:lineRule="exact"/>
        <w:ind w:firstLine="560" w:firstLineChars="200"/>
        <w:rPr>
          <w:rFonts w:ascii="宋体" w:hAnsi="宋体" w:eastAsia="宋体" w:cs="Times New Roman"/>
          <w:sz w:val="28"/>
          <w:szCs w:val="28"/>
          <w:highlight w:val="none"/>
          <w:u w:val="single"/>
          <w14:ligatures w14:val="none"/>
        </w:rPr>
      </w:pPr>
      <w:bookmarkStart w:id="4" w:name="_Toc282421687"/>
      <w:r>
        <w:rPr>
          <w:rFonts w:hint="eastAsia" w:ascii="宋体" w:hAnsi="宋体" w:eastAsia="宋体" w:cs="Times New Roman"/>
          <w:color w:val="000000"/>
          <w:sz w:val="28"/>
          <w:szCs w:val="28"/>
          <w:highlight w:val="none"/>
          <w14:ligatures w14:val="none"/>
        </w:rPr>
        <w:t>电话：</w:t>
      </w:r>
      <w:bookmarkEnd w:id="4"/>
      <w:r>
        <w:rPr>
          <w:rFonts w:hint="eastAsia" w:ascii="宋体" w:hAnsi="宋体" w:eastAsia="宋体" w:cs="Times New Roman"/>
          <w:color w:val="000000"/>
          <w:sz w:val="28"/>
          <w:szCs w:val="28"/>
          <w:highlight w:val="none"/>
          <w14:ligatures w14:val="none"/>
        </w:rPr>
        <w:t>15202211920</w:t>
      </w:r>
    </w:p>
    <w:p w14:paraId="29093713">
      <w:pPr>
        <w:spacing w:line="360" w:lineRule="auto"/>
        <w:rPr>
          <w:rFonts w:hint="eastAsia" w:ascii="宋体" w:hAnsi="宋体" w:eastAsia="宋体" w:cs="宋体"/>
          <w:sz w:val="28"/>
          <w:szCs w:val="28"/>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U2MmUxNDk2NjVjN2RjYzY5ODU0N2MyMjA3OGViM2MifQ=="/>
  </w:docVars>
  <w:rsids>
    <w:rsidRoot w:val="00B30165"/>
    <w:rsid w:val="001A3CE6"/>
    <w:rsid w:val="001A704D"/>
    <w:rsid w:val="001B3711"/>
    <w:rsid w:val="001F67EE"/>
    <w:rsid w:val="00313C85"/>
    <w:rsid w:val="00433785"/>
    <w:rsid w:val="0058684A"/>
    <w:rsid w:val="008F54ED"/>
    <w:rsid w:val="00B30165"/>
    <w:rsid w:val="00B81B38"/>
    <w:rsid w:val="00B8574B"/>
    <w:rsid w:val="00B86133"/>
    <w:rsid w:val="00BC6F6C"/>
    <w:rsid w:val="00C42C74"/>
    <w:rsid w:val="00F20AF9"/>
    <w:rsid w:val="00F964C7"/>
    <w:rsid w:val="03301AB5"/>
    <w:rsid w:val="03422247"/>
    <w:rsid w:val="04FA0DDE"/>
    <w:rsid w:val="0AF541D4"/>
    <w:rsid w:val="0C7B3B54"/>
    <w:rsid w:val="0C9E474A"/>
    <w:rsid w:val="0D1F1DAB"/>
    <w:rsid w:val="0DCC5347"/>
    <w:rsid w:val="11136658"/>
    <w:rsid w:val="11AB0309"/>
    <w:rsid w:val="14BF6A55"/>
    <w:rsid w:val="1AF706AA"/>
    <w:rsid w:val="1B1401E9"/>
    <w:rsid w:val="1C26361E"/>
    <w:rsid w:val="1C6C3C49"/>
    <w:rsid w:val="1E4C6A51"/>
    <w:rsid w:val="216A26BC"/>
    <w:rsid w:val="25BB4E82"/>
    <w:rsid w:val="27C726BD"/>
    <w:rsid w:val="28CF349F"/>
    <w:rsid w:val="2B0A5DDB"/>
    <w:rsid w:val="2B8D52AB"/>
    <w:rsid w:val="2F8A4BE7"/>
    <w:rsid w:val="31927D00"/>
    <w:rsid w:val="31986C26"/>
    <w:rsid w:val="32EA1F27"/>
    <w:rsid w:val="33826E40"/>
    <w:rsid w:val="3AB43ED0"/>
    <w:rsid w:val="3B1B79C9"/>
    <w:rsid w:val="3EA70A6B"/>
    <w:rsid w:val="3F30189D"/>
    <w:rsid w:val="40622067"/>
    <w:rsid w:val="40DC15A1"/>
    <w:rsid w:val="448B09DD"/>
    <w:rsid w:val="45441531"/>
    <w:rsid w:val="491D5CAA"/>
    <w:rsid w:val="4A7C4189"/>
    <w:rsid w:val="52081295"/>
    <w:rsid w:val="53ED4D5D"/>
    <w:rsid w:val="54FA7EDF"/>
    <w:rsid w:val="565F35B9"/>
    <w:rsid w:val="573E4EA6"/>
    <w:rsid w:val="573F3E1C"/>
    <w:rsid w:val="59581E5F"/>
    <w:rsid w:val="5B5C24A3"/>
    <w:rsid w:val="5BCD15A9"/>
    <w:rsid w:val="5DCF2FE5"/>
    <w:rsid w:val="60173B1E"/>
    <w:rsid w:val="61456341"/>
    <w:rsid w:val="61C40FEC"/>
    <w:rsid w:val="61F0106A"/>
    <w:rsid w:val="62101CFB"/>
    <w:rsid w:val="624055D0"/>
    <w:rsid w:val="62895702"/>
    <w:rsid w:val="643166D3"/>
    <w:rsid w:val="674C057D"/>
    <w:rsid w:val="695441F1"/>
    <w:rsid w:val="6C8B0DD5"/>
    <w:rsid w:val="708E2759"/>
    <w:rsid w:val="71FD0B06"/>
    <w:rsid w:val="730E6178"/>
    <w:rsid w:val="74914498"/>
    <w:rsid w:val="758E106B"/>
    <w:rsid w:val="797C0647"/>
    <w:rsid w:val="7ADB416A"/>
    <w:rsid w:val="7B7F3EB4"/>
    <w:rsid w:val="7C7326A0"/>
    <w:rsid w:val="7E9C7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2"/>
    <w:basedOn w:val="1"/>
    <w:next w:val="1"/>
    <w:semiHidden/>
    <w:unhideWhenUsed/>
    <w:qFormat/>
    <w:uiPriority w:val="0"/>
    <w:pPr>
      <w:keepNext/>
      <w:keepLines/>
      <w:spacing w:before="260" w:after="260" w:line="500" w:lineRule="exact"/>
      <w:outlineLvl w:val="1"/>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5"/>
    <w:unhideWhenUsed/>
    <w:qFormat/>
    <w:uiPriority w:val="99"/>
    <w:pPr>
      <w:spacing w:after="120"/>
    </w:pPr>
  </w:style>
  <w:style w:type="paragraph" w:styleId="5">
    <w:name w:val="Body Text First Indent"/>
    <w:basedOn w:val="4"/>
    <w:next w:val="6"/>
    <w:qFormat/>
    <w:uiPriority w:val="0"/>
    <w:pPr>
      <w:ind w:firstLine="420" w:firstLineChars="100"/>
    </w:pPr>
    <w:rPr>
      <w:rFonts w:ascii="宋体" w:hAnsi="宋体"/>
    </w:rPr>
  </w:style>
  <w:style w:type="paragraph" w:customStyle="1" w:styleId="6">
    <w:name w:val="段落正文"/>
    <w:basedOn w:val="1"/>
    <w:autoRedefine/>
    <w:qFormat/>
    <w:uiPriority w:val="0"/>
    <w:pPr>
      <w:spacing w:beforeLines="50" w:line="360" w:lineRule="auto"/>
      <w:ind w:firstLine="200" w:firstLineChars="200"/>
    </w:pPr>
    <w:rPr>
      <w:spacing w:val="2"/>
      <w:sz w:val="24"/>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14:ligatures w14:val="none"/>
    </w:r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未处理的提及1"/>
    <w:basedOn w:val="12"/>
    <w:semiHidden/>
    <w:unhideWhenUsed/>
    <w:qFormat/>
    <w:uiPriority w:val="99"/>
    <w:rPr>
      <w:color w:val="605E5C"/>
      <w:shd w:val="clear" w:color="auto" w:fill="E1DFDD"/>
    </w:rPr>
  </w:style>
  <w:style w:type="paragraph" w:styleId="18">
    <w:name w:val="List Paragraph"/>
    <w:basedOn w:val="1"/>
    <w:qFormat/>
    <w:uiPriority w:val="34"/>
    <w:pPr>
      <w:ind w:firstLine="420" w:firstLineChars="200"/>
    </w:p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584</Words>
  <Characters>617</Characters>
  <Lines>13</Lines>
  <Paragraphs>3</Paragraphs>
  <TotalTime>0</TotalTime>
  <ScaleCrop>false</ScaleCrop>
  <LinksUpToDate>false</LinksUpToDate>
  <CharactersWithSpaces>620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2023-12-13T06:19:00Z</dcterms:created>
  <dc:creator>liaozong</dc:creator>
  <cp:lastModifiedBy>Emilee</cp:lastModifiedBy>
  <dcterms:modified xsi:type="dcterms:W3CDTF">2026-10-29T02:05:05Z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5A4AA0D3B6484679982B75258A143858_13</vt:lpwstr>
  </property>
  <property fmtid="{D5CDD505-2E9C-101B-9397-08002B2CF9AE}" pid="4" name="KSOTemplateDocerSaveRecord">
    <vt:lpwstr>eyJoZGlkIjoiMjk3N2ExZmQ4ZTcyMDJkYzkzYTcyNjAxYjZlZDU4Y2MiLCJ1c2VySWQiOiIyNTY0OTg0NDQifQ==</vt:lpwstr>
  </property>
</Properties>
</file>