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DDBB33">
      <w:pPr>
        <w:pStyle w:val="2"/>
        <w:numPr>
          <w:ilvl w:val="0"/>
          <w:numId w:val="0"/>
        </w:numPr>
        <w:spacing w:before="0" w:after="0" w:line="500" w:lineRule="exact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bookmarkStart w:id="4" w:name="_GoBack"/>
      <w:bookmarkEnd w:id="4"/>
      <w:bookmarkStart w:id="0" w:name="_Toc11057"/>
      <w:bookmarkStart w:id="1" w:name="_Toc20589"/>
      <w:bookmarkStart w:id="2" w:name="_Toc23172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询比公告</w:t>
      </w:r>
      <w:bookmarkEnd w:id="0"/>
      <w:bookmarkEnd w:id="1"/>
      <w:bookmarkEnd w:id="2"/>
    </w:p>
    <w:p w14:paraId="106378E9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  <w:u w:val="single"/>
        </w:rPr>
      </w:pPr>
    </w:p>
    <w:p w14:paraId="53222CFA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cs="宋体"/>
          <w:color w:val="auto"/>
          <w:spacing w:val="-8"/>
          <w:sz w:val="32"/>
          <w:szCs w:val="32"/>
          <w:highlight w:val="none"/>
        </w:rPr>
      </w:pPr>
      <w:r>
        <w:rPr>
          <w:rFonts w:hint="eastAsia"/>
          <w:color w:val="auto"/>
          <w:highlight w:val="none"/>
          <w:u w:val="single"/>
        </w:rPr>
        <w:t>四川省自然资源信息流转服务有限公司</w:t>
      </w:r>
      <w:r>
        <w:rPr>
          <w:rFonts w:hint="eastAsia"/>
          <w:color w:val="auto"/>
          <w:highlight w:val="none"/>
        </w:rPr>
        <w:t>受</w:t>
      </w:r>
      <w:r>
        <w:rPr>
          <w:rFonts w:hint="eastAsia"/>
          <w:color w:val="auto"/>
          <w:highlight w:val="none"/>
          <w:u w:val="single"/>
          <w:lang w:eastAsia="zh-CN"/>
        </w:rPr>
        <w:t>四川省自然资源数字科技有限责任公司</w:t>
      </w:r>
      <w:r>
        <w:rPr>
          <w:rFonts w:hint="eastAsia"/>
          <w:color w:val="auto"/>
          <w:highlight w:val="none"/>
        </w:rPr>
        <w:t>委托，对</w:t>
      </w:r>
      <w:r>
        <w:rPr>
          <w:rFonts w:hint="eastAsia"/>
          <w:color w:val="auto"/>
          <w:highlight w:val="none"/>
          <w:lang w:val="en-US" w:eastAsia="zh-CN"/>
        </w:rPr>
        <w:t>党建</w:t>
      </w:r>
      <w:r>
        <w:rPr>
          <w:rFonts w:hint="eastAsia"/>
          <w:color w:val="auto"/>
          <w:highlight w:val="none"/>
          <w:u w:val="single"/>
          <w:lang w:eastAsia="zh-CN"/>
        </w:rPr>
        <w:t>管理系统咨询服务项目</w:t>
      </w:r>
      <w:r>
        <w:rPr>
          <w:rFonts w:hint="eastAsia"/>
          <w:color w:val="auto"/>
          <w:highlight w:val="none"/>
        </w:rPr>
        <w:t>进行公开询比，现邀请合格的供应商参加。</w:t>
      </w:r>
    </w:p>
    <w:p w14:paraId="612464B6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2" w:firstLineChars="200"/>
        <w:textAlignment w:val="baseline"/>
        <w:rPr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</w:rPr>
        <w:t>一、采购项目简介</w:t>
      </w:r>
    </w:p>
    <w:p w14:paraId="4C38778D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（一）采购人：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>四川省自然资源数字科技有限责任公司</w:t>
      </w:r>
    </w:p>
    <w:p w14:paraId="2D4F4978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（二）采购代理机构：四川省自然资源信息流转服务有限公司</w:t>
      </w:r>
    </w:p>
    <w:p w14:paraId="4548CF18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（三）项目名称：党建管理系统咨询服务项目</w:t>
      </w:r>
    </w:p>
    <w:p w14:paraId="540E8201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（四）项目编号：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>XBFWDL20260099</w:t>
      </w:r>
    </w:p>
    <w:p w14:paraId="405AEE6E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（五）服务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>地点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：</w:t>
      </w:r>
      <w:r>
        <w:rPr>
          <w:rFonts w:hint="eastAsia" w:ascii="宋体" w:hAnsi="宋体" w:eastAsia="宋体" w:cstheme="minorBidi"/>
          <w:color w:val="auto"/>
          <w:kern w:val="2"/>
          <w:sz w:val="24"/>
          <w:szCs w:val="24"/>
          <w:highlight w:val="none"/>
          <w:lang w:val="en-US" w:eastAsia="zh-CN" w:bidi="ar-SA"/>
        </w:rPr>
        <w:t>甲方指定项目所在地及双方约定办公地点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。</w:t>
      </w:r>
    </w:p>
    <w:p w14:paraId="7B79C654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（六）项目概况：</w:t>
      </w:r>
    </w:p>
    <w:p w14:paraId="716F64F1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Times New Roman" w:hAnsi="Times New Roman" w:cs="Times New Roman" w:eastAsiaTheme="minorEastAsia"/>
          <w:color w:val="auto"/>
          <w:highlight w:val="none"/>
          <w:u w:val="none"/>
          <w:lang w:val="en-US" w:eastAsia="zh-CN"/>
        </w:rPr>
      </w:pPr>
      <w:r>
        <w:rPr>
          <w:rFonts w:hint="eastAsia" w:ascii="Times New Roman" w:hAnsi="Times New Roman" w:cs="Times New Roman" w:eastAsiaTheme="minorEastAsia"/>
          <w:color w:val="auto"/>
          <w:highlight w:val="none"/>
          <w:u w:val="none"/>
          <w:lang w:val="en-US" w:eastAsia="zh-CN"/>
        </w:rPr>
        <w:t>结合采购人现有低代码数字化底层平台架构，提供贴合企业实际可落地的咨询服务，熟悉国有企业党建组织管理、党员管理、发展党员、党内组织生活、党费管理、党建考核等党务工作的管理流程、核心管控要素。</w:t>
      </w:r>
    </w:p>
    <w:p w14:paraId="50CAB7E3">
      <w:pPr>
        <w:widowControl/>
        <w:numPr>
          <w:ilvl w:val="0"/>
          <w:numId w:val="1"/>
        </w:numPr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服务期限：</w:t>
      </w:r>
      <w:r>
        <w:rPr>
          <w:rFonts w:hint="eastAsia" w:ascii="Times New Roman" w:hAnsi="Times New Roman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合同签订后30个日历天</w:t>
      </w:r>
      <w:r>
        <w:rPr>
          <w:rFonts w:hint="eastAsia" w:eastAsia="宋体" w:cs="宋体"/>
          <w:color w:val="auto"/>
          <w:kern w:val="2"/>
          <w:sz w:val="24"/>
          <w:szCs w:val="24"/>
          <w:highlight w:val="none"/>
          <w:lang w:val="en-US" w:eastAsia="zh-CN" w:bidi="ar-SA"/>
        </w:rPr>
        <w:t>内完成需求说明书和实施方案评审，总服务期限：120日历天。</w:t>
      </w:r>
    </w:p>
    <w:p w14:paraId="0BFD5FAD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（八）采购范围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>及询比内容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：</w:t>
      </w:r>
      <w:bookmarkStart w:id="3" w:name="auto_fouce_3"/>
    </w:p>
    <w:bookmarkEnd w:id="3"/>
    <w:p w14:paraId="5D25BB13">
      <w:pPr>
        <w:widowControl/>
        <w:snapToGrid w:val="0"/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highlight w:val="none"/>
          <w:lang w:val="en-US" w:eastAsia="zh-CN"/>
        </w:rPr>
        <w:t>1.本项目核心功能模块需求包含不限于以下功能点，模块分类以最终审定的需求说明书为准。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3"/>
        <w:gridCol w:w="4157"/>
      </w:tblGrid>
      <w:tr w14:paraId="1DAFC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3" w:type="dxa"/>
            <w:vAlign w:val="center"/>
          </w:tcPr>
          <w:p w14:paraId="52926064">
            <w:pPr>
              <w:jc w:val="both"/>
              <w:rPr>
                <w:rFonts w:hint="eastAsia"/>
                <w:sz w:val="24"/>
              </w:rPr>
            </w:pPr>
            <w:r>
              <w:rPr>
                <w:b/>
                <w:sz w:val="24"/>
              </w:rPr>
              <w:t>模块</w:t>
            </w:r>
          </w:p>
        </w:tc>
        <w:tc>
          <w:tcPr>
            <w:tcW w:w="4157" w:type="dxa"/>
            <w:vAlign w:val="center"/>
          </w:tcPr>
          <w:p w14:paraId="5488C30E">
            <w:pPr>
              <w:jc w:val="both"/>
              <w:rPr>
                <w:rFonts w:hint="eastAsia"/>
                <w:sz w:val="24"/>
              </w:rPr>
            </w:pPr>
            <w:r>
              <w:rPr>
                <w:b/>
                <w:sz w:val="24"/>
              </w:rPr>
              <w:t>主要咨询范围</w:t>
            </w:r>
          </w:p>
        </w:tc>
      </w:tr>
      <w:tr w14:paraId="7C2D0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3" w:type="dxa"/>
            <w:vAlign w:val="center"/>
          </w:tcPr>
          <w:p w14:paraId="7C0D78D4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党建组织管理</w:t>
            </w:r>
          </w:p>
        </w:tc>
        <w:tc>
          <w:tcPr>
            <w:tcW w:w="4157" w:type="dxa"/>
            <w:vAlign w:val="center"/>
          </w:tcPr>
          <w:p w14:paraId="2BE14551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党组织信息、组织树、党组织换届、党组织班子、书记及委员信息、党小组、组织关系维护、组织隶属关系、组织撤并及历史数据管理。</w:t>
            </w:r>
          </w:p>
        </w:tc>
      </w:tr>
      <w:tr w14:paraId="606C5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3" w:type="dxa"/>
            <w:vAlign w:val="center"/>
          </w:tcPr>
          <w:p w14:paraId="66A322B8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党员基础管理</w:t>
            </w:r>
          </w:p>
        </w:tc>
        <w:tc>
          <w:tcPr>
            <w:tcW w:w="4157" w:type="dxa"/>
            <w:vAlign w:val="center"/>
          </w:tcPr>
          <w:p w14:paraId="1B77DD2A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党员基本信息、党员身份信息、入党时间、组织关系、党内职务、流动党员、党员标签、党员状态、党员转接及党员信息变更。</w:t>
            </w:r>
          </w:p>
        </w:tc>
      </w:tr>
      <w:tr w14:paraId="17EA4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3" w:type="dxa"/>
            <w:vAlign w:val="center"/>
          </w:tcPr>
          <w:p w14:paraId="36A3D67A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发展党员管理</w:t>
            </w:r>
          </w:p>
        </w:tc>
        <w:tc>
          <w:tcPr>
            <w:tcW w:w="4157" w:type="dxa"/>
            <w:vAlign w:val="center"/>
          </w:tcPr>
          <w:p w14:paraId="4667D1D9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入党申请、入党积极分子、发展对象、预备党员、转正、材料归档、时间节点提醒、审批流程及发展党员全周期台账。</w:t>
            </w:r>
          </w:p>
        </w:tc>
      </w:tr>
      <w:tr w14:paraId="65F21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3" w:type="dxa"/>
            <w:vAlign w:val="center"/>
          </w:tcPr>
          <w:p w14:paraId="12EFD0F4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党内组织生活</w:t>
            </w:r>
          </w:p>
        </w:tc>
        <w:tc>
          <w:tcPr>
            <w:tcW w:w="4157" w:type="dxa"/>
            <w:vAlign w:val="center"/>
          </w:tcPr>
          <w:p w14:paraId="152FCDAD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三会一课、主题党日、组织生活会、民主评议党员、谈心谈话、领导干部双重组织生活、活动通知、签到、纪要、照片及材料归档。</w:t>
            </w:r>
          </w:p>
        </w:tc>
      </w:tr>
      <w:tr w14:paraId="53703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3" w:type="dxa"/>
            <w:vAlign w:val="center"/>
          </w:tcPr>
          <w:p w14:paraId="14B6ABD6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党委理论学习中心组及学习教育</w:t>
            </w:r>
          </w:p>
        </w:tc>
        <w:tc>
          <w:tcPr>
            <w:tcW w:w="4157" w:type="dxa"/>
            <w:vAlign w:val="center"/>
          </w:tcPr>
          <w:p w14:paraId="3EEADEC0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学习计划、学习主题、学习资料、学习活动、参学记录、学习成果、心得体会、专题教育任务及过程留痕。</w:t>
            </w:r>
          </w:p>
        </w:tc>
      </w:tr>
      <w:tr w14:paraId="7F0DB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3" w:type="dxa"/>
            <w:vAlign w:val="center"/>
          </w:tcPr>
          <w:p w14:paraId="1272E2D4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党建责任制</w:t>
            </w:r>
          </w:p>
        </w:tc>
        <w:tc>
          <w:tcPr>
            <w:tcW w:w="4157" w:type="dxa"/>
            <w:vAlign w:val="center"/>
          </w:tcPr>
          <w:p w14:paraId="5C7491E4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年度党建重点任务、责任清单、任务分解、责任领导、责任部门、完成时限、过程反馈、佐证材料、督办提醒及闭环管理。</w:t>
            </w:r>
          </w:p>
        </w:tc>
      </w:tr>
      <w:tr w14:paraId="2C2CB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3" w:type="dxa"/>
            <w:vAlign w:val="center"/>
          </w:tcPr>
          <w:p w14:paraId="4D5148AD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党建考核与评价</w:t>
            </w:r>
          </w:p>
        </w:tc>
        <w:tc>
          <w:tcPr>
            <w:tcW w:w="4157" w:type="dxa"/>
            <w:vAlign w:val="center"/>
          </w:tcPr>
          <w:p w14:paraId="425E0684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党建考核指标、考核任务、评分规则、过程采集、材料报送、自动汇总、考核结果、问题整改及排名分析。</w:t>
            </w:r>
          </w:p>
        </w:tc>
      </w:tr>
      <w:tr w14:paraId="03D88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3" w:type="dxa"/>
            <w:vAlign w:val="center"/>
          </w:tcPr>
          <w:p w14:paraId="4B946E4B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党费管理</w:t>
            </w:r>
          </w:p>
        </w:tc>
        <w:tc>
          <w:tcPr>
            <w:tcW w:w="4157" w:type="dxa"/>
            <w:vAlign w:val="center"/>
          </w:tcPr>
          <w:p w14:paraId="18580585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党员应缴党费测算、缴费标准、应缴金额、实缴金额、缴费记录、补缴、减免、党费统计及台账。</w:t>
            </w:r>
          </w:p>
        </w:tc>
      </w:tr>
      <w:tr w14:paraId="0DC5D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3" w:type="dxa"/>
            <w:vAlign w:val="center"/>
          </w:tcPr>
          <w:p w14:paraId="24424A31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党建活动管理</w:t>
            </w:r>
          </w:p>
        </w:tc>
        <w:tc>
          <w:tcPr>
            <w:tcW w:w="4157" w:type="dxa"/>
            <w:vAlign w:val="center"/>
          </w:tcPr>
          <w:p w14:paraId="1E25088E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活动计划、活动发布、活动报名、签到、活动记录、活动成果、宣传材料、图片附件、活动统计及查询。</w:t>
            </w:r>
          </w:p>
        </w:tc>
      </w:tr>
      <w:tr w14:paraId="7903D0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3" w:type="dxa"/>
            <w:vAlign w:val="center"/>
          </w:tcPr>
          <w:p w14:paraId="7B17D4D1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党务工作管理</w:t>
            </w:r>
          </w:p>
        </w:tc>
        <w:tc>
          <w:tcPr>
            <w:tcW w:w="4157" w:type="dxa"/>
            <w:vAlign w:val="center"/>
          </w:tcPr>
          <w:p w14:paraId="5C4C5FCB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党内文件、制度、通知、工作提醒、报表报送、任务督办、党务台账及常用业务模板。</w:t>
            </w:r>
          </w:p>
        </w:tc>
      </w:tr>
      <w:tr w14:paraId="75002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3" w:type="dxa"/>
            <w:vAlign w:val="center"/>
          </w:tcPr>
          <w:p w14:paraId="2274E5AF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党建数据分析</w:t>
            </w:r>
          </w:p>
        </w:tc>
        <w:tc>
          <w:tcPr>
            <w:tcW w:w="4157" w:type="dxa"/>
            <w:vAlign w:val="center"/>
          </w:tcPr>
          <w:p w14:paraId="799C1C8C">
            <w:pPr>
              <w:jc w:val="both"/>
              <w:rPr>
                <w:rFonts w:hint="eastAsia"/>
                <w:sz w:val="24"/>
              </w:rPr>
            </w:pPr>
            <w:r>
              <w:rPr>
                <w:sz w:val="24"/>
              </w:rPr>
              <w:t>组织数量、党员数量、党员结构、组织生活开展情况、发展党员情况、党费情况、党建责任制完成情况、考核情况等多维统计分析。</w:t>
            </w:r>
          </w:p>
        </w:tc>
      </w:tr>
    </w:tbl>
    <w:p w14:paraId="17B7138F">
      <w:pPr>
        <w:spacing w:line="576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>九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>验收标准：</w:t>
      </w:r>
      <w:r>
        <w:rPr>
          <w:rFonts w:hint="eastAsia" w:eastAsia="宋体" w:cs="宋体"/>
        </w:rPr>
        <w:t>供应商应</w:t>
      </w:r>
      <w:r>
        <w:rPr>
          <w:rFonts w:hint="eastAsia" w:eastAsia="宋体" w:cs="宋体"/>
          <w:lang w:val="en-US" w:eastAsia="zh-CN"/>
        </w:rPr>
        <w:t>提交</w:t>
      </w:r>
      <w:r>
        <w:rPr>
          <w:rFonts w:hint="eastAsia" w:eastAsia="宋体" w:cs="宋体"/>
        </w:rPr>
        <w:t>完整的</w:t>
      </w:r>
      <w:r>
        <w:rPr>
          <w:rFonts w:hint="eastAsia" w:ascii="Times New Roman" w:hAnsi="Times New Roman" w:eastAsia="宋体" w:cs="宋体"/>
          <w:sz w:val="24"/>
        </w:rPr>
        <w:t>需求说明书</w:t>
      </w:r>
      <w:r>
        <w:rPr>
          <w:rFonts w:hint="eastAsia" w:ascii="Times New Roman" w:hAnsi="Times New Roman" w:eastAsia="宋体" w:cs="宋体"/>
          <w:sz w:val="24"/>
          <w:lang w:eastAsia="zh-CN"/>
        </w:rPr>
        <w:t>、</w:t>
      </w:r>
      <w:r>
        <w:rPr>
          <w:rFonts w:hint="eastAsia" w:ascii="Times New Roman" w:hAnsi="Times New Roman" w:eastAsia="宋体" w:cs="宋体"/>
          <w:sz w:val="24"/>
          <w:lang w:val="en-US" w:eastAsia="zh-CN"/>
        </w:rPr>
        <w:t>实施</w:t>
      </w:r>
      <w:r>
        <w:rPr>
          <w:rFonts w:hint="eastAsia" w:ascii="Times New Roman" w:hAnsi="Times New Roman" w:eastAsia="宋体" w:cs="宋体"/>
          <w:sz w:val="24"/>
        </w:rPr>
        <w:t>方案</w:t>
      </w:r>
      <w:r>
        <w:rPr>
          <w:rFonts w:hint="eastAsia" w:eastAsia="宋体" w:cs="宋体"/>
        </w:rPr>
        <w:t>，通过采购人组织的评审合格。</w:t>
      </w:r>
    </w:p>
    <w:p w14:paraId="2D4954CD">
      <w:pPr>
        <w:spacing w:line="576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>(十）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询比控制价：</w:t>
      </w:r>
      <w:r>
        <w:rPr>
          <w:rFonts w:hint="eastAsia" w:ascii="Times New Roman" w:hAnsi="Times New Roman" w:eastAsia="宋体" w:cs="宋体"/>
          <w:sz w:val="24"/>
          <w:szCs w:val="24"/>
          <w:lang w:val="en-US" w:eastAsia="zh-CN"/>
        </w:rPr>
        <w:t>12万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val="en-US" w:eastAsia="zh-CN"/>
        </w:rPr>
        <w:t>元（含税价，税率6%）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。</w:t>
      </w:r>
    </w:p>
    <w:p w14:paraId="3F6747F0">
      <w:pPr>
        <w:spacing w:line="576" w:lineRule="exact"/>
        <w:ind w:firstLine="480" w:firstLineChars="200"/>
        <w:rPr>
          <w:rFonts w:hint="eastAsia" w:asciiTheme="minorEastAsia" w:hAnsiTheme="minorEastAsia" w:eastAsiaTheme="minorEastAsia" w:cstheme="minorEastAsia"/>
          <w:color w:val="auto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报价方式：采用一次性报价方式，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>供应商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不得在最高限价基础上进行上浮报价，否则其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color w:val="auto"/>
          <w:highlight w:val="none"/>
        </w:rPr>
        <w:t>被否决。</w:t>
      </w:r>
    </w:p>
    <w:p w14:paraId="35F2B11F">
      <w:pPr>
        <w:spacing w:line="576" w:lineRule="exact"/>
        <w:ind w:firstLine="480" w:firstLineChars="200"/>
        <w:rPr>
          <w:rFonts w:hint="default" w:asciiTheme="minorEastAsia" w:hAnsiTheme="minorEastAsia" w:eastAsiaTheme="minorEastAsia" w:cstheme="minorEastAsia"/>
          <w:color w:val="auto"/>
          <w:highlight w:val="none"/>
          <w:lang w:val="en-US" w:eastAsia="zh-CN"/>
        </w:rPr>
      </w:pPr>
    </w:p>
    <w:p w14:paraId="0F752144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2" w:firstLineChars="200"/>
        <w:textAlignment w:val="baseline"/>
        <w:rPr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</w:rPr>
        <w:t>二、本项目</w:t>
      </w:r>
      <w:r>
        <w:rPr>
          <w:rFonts w:hint="eastAsia"/>
          <w:b/>
          <w:bCs/>
          <w:color w:val="auto"/>
          <w:highlight w:val="none"/>
          <w:u w:val="single"/>
        </w:rPr>
        <w:t>不接受</w:t>
      </w:r>
      <w:r>
        <w:rPr>
          <w:rFonts w:hint="eastAsia"/>
          <w:b/>
          <w:bCs/>
          <w:color w:val="auto"/>
          <w:highlight w:val="none"/>
        </w:rPr>
        <w:t>联合体参与询比活动。本项目不允许分包。</w:t>
      </w:r>
    </w:p>
    <w:p w14:paraId="1B89EDFF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2" w:firstLineChars="200"/>
        <w:textAlignment w:val="baseline"/>
        <w:rPr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</w:rPr>
        <w:t>三、供应商资格要求</w:t>
      </w:r>
    </w:p>
    <w:p w14:paraId="157BFD45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（一）参加本项目的供应商应当具备以下规定的条件。</w:t>
      </w:r>
    </w:p>
    <w:p w14:paraId="2D9979F5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（1）具有独立承担民事责任的能力；</w:t>
      </w:r>
    </w:p>
    <w:p w14:paraId="2A1A8D1C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 xml:space="preserve">（2）具有良好的商业信誉和健全的财务会计制度； </w:t>
      </w:r>
    </w:p>
    <w:p w14:paraId="16ED901B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（3）具有履行合同所必须的设备和专业技术能力；</w:t>
      </w:r>
    </w:p>
    <w:p w14:paraId="4848F506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（4）具有依法缴纳税收和社会保障资金的良好记录；</w:t>
      </w:r>
    </w:p>
    <w:p w14:paraId="67ADB2F1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（5）参加本次采购活动前三年内，在经营活动中没有重大违法记录；</w:t>
      </w:r>
    </w:p>
    <w:p w14:paraId="526F78BD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</w:rPr>
        <w:t>（6）法律、行政法规规定的其他条件。</w:t>
      </w:r>
    </w:p>
    <w:p w14:paraId="36CBB1C9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（二）本询比项目提出的特殊条件：</w:t>
      </w:r>
    </w:p>
    <w:p w14:paraId="6D0ABE1A">
      <w:pPr>
        <w:wordWrap w:val="0"/>
        <w:spacing w:line="360" w:lineRule="auto"/>
        <w:ind w:firstLine="480" w:firstLineChars="200"/>
        <w:rPr>
          <w:rFonts w:hint="eastAsia" w:ascii="Times New Roman" w:hAnsi="Times New Roman" w:eastAsia="宋体" w:cs="宋体"/>
          <w:sz w:val="24"/>
        </w:rPr>
      </w:pPr>
      <w:r>
        <w:rPr>
          <w:rFonts w:hint="eastAsia" w:ascii="Times New Roman" w:hAnsi="Times New Roman" w:eastAsia="宋体" w:cs="宋体"/>
          <w:sz w:val="24"/>
          <w:lang w:val="en-US" w:eastAsia="zh-CN"/>
        </w:rPr>
        <w:t>1.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  <w:lang w:val="en-US" w:eastAsia="zh-CN"/>
        </w:rPr>
        <w:t>业绩要求：供应商需提供2021年1月1日以来已完成的</w:t>
      </w:r>
      <w:r>
        <w:rPr>
          <w:rFonts w:hint="eastAsia" w:ascii="Times New Roman" w:hAnsi="Times New Roman" w:eastAsia="宋体" w:cs="宋体"/>
          <w:i w:val="0"/>
          <w:iCs w:val="0"/>
          <w:caps w:val="0"/>
          <w:spacing w:val="0"/>
          <w:sz w:val="24"/>
          <w:szCs w:val="24"/>
          <w:shd w:val="clear" w:fill="auto"/>
          <w:lang w:val="en-US" w:eastAsia="zh-CN"/>
        </w:rPr>
        <w:t>党建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  <w:lang w:val="en-US" w:eastAsia="zh-CN"/>
        </w:rPr>
        <w:t>管理系统建设或实施的类似业绩不少于1个（类似业绩指党建管理系统业绩，业绩证明材料需提供：①合同文本扫描件，合同文本至少应包含合同封面、金额、服务内容、签字盖章页，合同内容须反映出项目名称、用户名称、服务内容；②不低于项目合同金额50%的支付凭证（发票）和款项结算凭证（收款回执单/银行承兑汇票/商业承兑汇票）；</w:t>
      </w:r>
    </w:p>
    <w:p w14:paraId="3CBB9AE1">
      <w:pPr>
        <w:widowControl/>
        <w:tabs>
          <w:tab w:val="left" w:pos="7665"/>
        </w:tabs>
        <w:wordWrap w:val="0"/>
        <w:spacing w:line="360" w:lineRule="auto"/>
        <w:ind w:firstLine="480" w:firstLineChars="200"/>
        <w:rPr>
          <w:rFonts w:hint="eastAsia" w:ascii="Times New Roman" w:hAnsi="Times New Roman" w:eastAsia="宋体" w:cs="宋体"/>
          <w:sz w:val="24"/>
        </w:rPr>
      </w:pPr>
      <w:r>
        <w:rPr>
          <w:rFonts w:hint="eastAsia" w:ascii="Times New Roman" w:hAnsi="Times New Roman" w:eastAsia="宋体" w:cs="宋体"/>
          <w:sz w:val="24"/>
          <w:lang w:val="en-US" w:eastAsia="zh-CN"/>
        </w:rPr>
        <w:t>2.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  <w:lang w:val="en-US" w:eastAsia="zh-CN"/>
        </w:rPr>
        <w:t>项目负责人具备5年以上</w:t>
      </w:r>
      <w:r>
        <w:rPr>
          <w:rFonts w:hint="eastAsia" w:ascii="Times New Roman" w:hAnsi="Times New Roman" w:eastAsia="宋体" w:cs="宋体"/>
          <w:sz w:val="24"/>
        </w:rPr>
        <w:t>党建系统管理信息化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  <w:lang w:val="en-US" w:eastAsia="zh-CN"/>
        </w:rPr>
        <w:t>建设经验，主持过同类项目不少于1个，提供业绩证明（提供合同或协议关键页、或提供项目服务过程资料可证明项目负责人业绩）。</w:t>
      </w:r>
    </w:p>
    <w:p w14:paraId="25AA5CF1">
      <w:pPr>
        <w:widowControl/>
        <w:tabs>
          <w:tab w:val="left" w:pos="7665"/>
        </w:tabs>
        <w:kinsoku/>
        <w:wordWrap w:val="0"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宋体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宋体"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</w:rPr>
        <w:t>.信誉要求</w:t>
      </w:r>
    </w:p>
    <w:p w14:paraId="550F85CC">
      <w:pPr>
        <w:widowControl/>
        <w:tabs>
          <w:tab w:val="left" w:pos="7665"/>
        </w:tabs>
        <w:kinsoku/>
        <w:wordWrap w:val="0"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宋体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宋体"/>
          <w:color w:val="auto"/>
          <w:sz w:val="24"/>
          <w:highlight w:val="none"/>
        </w:rPr>
        <w:t>（1）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</w:rPr>
        <w:t>没有处于被责令停业，财产被接管、冻结、破产等状态。</w:t>
      </w:r>
    </w:p>
    <w:p w14:paraId="168F5F4B">
      <w:pPr>
        <w:widowControl/>
        <w:tabs>
          <w:tab w:val="left" w:pos="7665"/>
        </w:tabs>
        <w:kinsoku/>
        <w:wordWrap w:val="0"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宋体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宋体"/>
          <w:color w:val="auto"/>
          <w:sz w:val="24"/>
          <w:highlight w:val="none"/>
        </w:rPr>
        <w:t>（2）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</w:rPr>
        <w:t>2023年1月1日起至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  <w:lang w:eastAsia="zh-CN"/>
        </w:rPr>
        <w:t>响应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</w:rPr>
        <w:t>文件递交截止之日无直接影响本项目履约能力的违法、违规不良记录；不良记录包括但不限于以下情形：因涉嫌犯罪被办案机关立案追查、审查起诉、被法院判决有罪；在和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  <w:lang w:eastAsia="zh-CN"/>
        </w:rPr>
        <w:t>采购人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</w:rPr>
        <w:t>历史商业活动中存在因商业欺诈、产品质量问题等实质性侵害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  <w:lang w:eastAsia="zh-CN"/>
        </w:rPr>
        <w:t>采购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</w:rPr>
        <w:t>人权益的行为；未被国家、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  <w:lang w:eastAsia="zh-CN"/>
        </w:rPr>
        <w:t>采购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</w:rPr>
        <w:t>人及其上级部门明文规定暂停或取消交易资格。</w:t>
      </w:r>
    </w:p>
    <w:p w14:paraId="3C490D3B">
      <w:pPr>
        <w:widowControl/>
        <w:tabs>
          <w:tab w:val="left" w:pos="7665"/>
        </w:tabs>
        <w:kinsoku/>
        <w:wordWrap w:val="0"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宋体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宋体"/>
          <w:color w:val="auto"/>
          <w:sz w:val="24"/>
          <w:highlight w:val="none"/>
        </w:rPr>
        <w:t>（3）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</w:rPr>
        <w:t>在开标当日在存在以下情况，其投标将被否决：</w:t>
      </w:r>
    </w:p>
    <w:p w14:paraId="4E3E588E">
      <w:pPr>
        <w:widowControl/>
        <w:tabs>
          <w:tab w:val="left" w:pos="7665"/>
        </w:tabs>
        <w:kinsoku/>
        <w:wordWrap w:val="0"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宋体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宋体"/>
          <w:color w:val="auto"/>
          <w:sz w:val="24"/>
          <w:highlight w:val="none"/>
        </w:rPr>
        <w:t>a、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</w:rPr>
        <w:t xml:space="preserve">开标当日在“国家企业信用信息公示系统”网站（www.gsxt.gov.cn）被列入经营异常名录和严重违法失信企业名单的。 </w:t>
      </w:r>
    </w:p>
    <w:p w14:paraId="56C8F95E">
      <w:pPr>
        <w:widowControl/>
        <w:tabs>
          <w:tab w:val="left" w:pos="7665"/>
        </w:tabs>
        <w:kinsoku/>
        <w:wordWrap w:val="0"/>
        <w:autoSpaceDE/>
        <w:autoSpaceDN/>
        <w:adjustRightInd/>
        <w:snapToGrid/>
        <w:spacing w:line="360" w:lineRule="auto"/>
        <w:ind w:firstLine="480" w:firstLineChars="200"/>
        <w:textAlignment w:val="auto"/>
        <w:rPr>
          <w:rFonts w:hint="eastAsia" w:ascii="Times New Roman" w:hAnsi="Times New Roman" w:eastAsia="宋体" w:cs="宋体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宋体"/>
          <w:color w:val="auto"/>
          <w:sz w:val="24"/>
          <w:highlight w:val="none"/>
        </w:rPr>
        <w:t>b、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  <w:lang w:eastAsia="zh-CN"/>
        </w:rPr>
        <w:t>供应商</w:t>
      </w:r>
      <w:r>
        <w:rPr>
          <w:rFonts w:hint="eastAsia" w:ascii="Times New Roman" w:hAnsi="Times New Roman" w:eastAsia="宋体" w:cs="宋体"/>
          <w:color w:val="auto"/>
          <w:sz w:val="24"/>
          <w:highlight w:val="none"/>
        </w:rPr>
        <w:t>、法定代表人或者负责人被人民法院在“信用中国”网站（www.creditchina.gov.cn）列入失信被执行人。</w:t>
      </w:r>
    </w:p>
    <w:p w14:paraId="3ED5C354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eastAsia="宋体"/>
          <w:color w:val="auto"/>
          <w:highlight w:val="none"/>
          <w:lang w:eastAsia="zh-CN"/>
        </w:rPr>
      </w:pPr>
      <w:r>
        <w:rPr>
          <w:rFonts w:hint="eastAsia" w:ascii="Times New Roman" w:hAnsi="Times New Roman" w:eastAsia="宋体" w:cs="宋体"/>
          <w:color w:val="auto"/>
          <w:sz w:val="24"/>
          <w:highlight w:val="none"/>
          <w:lang w:eastAsia="zh-CN"/>
        </w:rPr>
        <w:t>注：以上（1）、（2）条款供应商在响应文件中提供书面承诺；（3）款约定要求以开标前在相应网站的查询结果为准。</w:t>
      </w:r>
    </w:p>
    <w:p w14:paraId="30E8FE41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（三）没有被限制申请的情形。</w:t>
      </w:r>
    </w:p>
    <w:p w14:paraId="756EC852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2" w:firstLineChars="200"/>
        <w:textAlignment w:val="baseline"/>
        <w:rPr>
          <w:b/>
          <w:bCs/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</w:rPr>
        <w:t>四、询比文件的获取</w:t>
      </w:r>
    </w:p>
    <w:p w14:paraId="3607E149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default" w:eastAsia="宋体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</w:rPr>
        <w:t>询比文件自2026年</w:t>
      </w:r>
      <w:r>
        <w:rPr>
          <w:rFonts w:hint="eastAsia"/>
          <w:color w:val="auto"/>
          <w:highlight w:val="none"/>
          <w:lang w:val="en-US" w:eastAsia="zh-CN"/>
        </w:rPr>
        <w:t>9</w:t>
      </w:r>
      <w:r>
        <w:rPr>
          <w:rFonts w:hint="eastAsia"/>
          <w:color w:val="auto"/>
          <w:highlight w:val="none"/>
        </w:rPr>
        <w:t>月</w:t>
      </w:r>
      <w:r>
        <w:rPr>
          <w:rFonts w:hint="eastAsia"/>
          <w:color w:val="auto"/>
          <w:highlight w:val="none"/>
          <w:lang w:val="en-US" w:eastAsia="zh-CN"/>
        </w:rPr>
        <w:t>21</w:t>
      </w:r>
      <w:r>
        <w:rPr>
          <w:rFonts w:hint="eastAsia"/>
          <w:color w:val="auto"/>
          <w:highlight w:val="none"/>
        </w:rPr>
        <w:t>日</w:t>
      </w:r>
      <w:r>
        <w:rPr>
          <w:rFonts w:hint="eastAsia"/>
          <w:color w:val="auto"/>
          <w:highlight w:val="none"/>
          <w:lang w:val="en-US" w:eastAsia="zh-CN"/>
        </w:rPr>
        <w:t>9</w:t>
      </w:r>
      <w:r>
        <w:rPr>
          <w:rFonts w:hint="eastAsia"/>
          <w:color w:val="auto"/>
          <w:highlight w:val="none"/>
        </w:rPr>
        <w:t>:00至2026年</w:t>
      </w:r>
      <w:r>
        <w:rPr>
          <w:rFonts w:hint="eastAsia"/>
          <w:color w:val="auto"/>
          <w:highlight w:val="none"/>
          <w:lang w:val="en-US" w:eastAsia="zh-CN"/>
        </w:rPr>
        <w:t>9</w:t>
      </w:r>
      <w:r>
        <w:rPr>
          <w:rFonts w:hint="eastAsia"/>
          <w:color w:val="auto"/>
          <w:highlight w:val="none"/>
        </w:rPr>
        <w:t>月</w:t>
      </w:r>
      <w:r>
        <w:rPr>
          <w:rFonts w:hint="eastAsia"/>
          <w:color w:val="auto"/>
          <w:highlight w:val="none"/>
          <w:lang w:val="en-US" w:eastAsia="zh-CN"/>
        </w:rPr>
        <w:t>24</w:t>
      </w:r>
      <w:r>
        <w:rPr>
          <w:rFonts w:hint="eastAsia"/>
          <w:color w:val="auto"/>
          <w:highlight w:val="none"/>
        </w:rPr>
        <w:t>日17：30（北京时间，法定节假日除外）发售。</w:t>
      </w:r>
      <w:r>
        <w:rPr>
          <w:rFonts w:hint="eastAsia"/>
          <w:b/>
          <w:bCs/>
          <w:color w:val="auto"/>
          <w:highlight w:val="none"/>
          <w:lang w:val="en-US" w:eastAsia="zh-CN"/>
        </w:rPr>
        <w:t>供应商获取询比文件后，需按照询比文件第二章供应商须知中“一、供应商须知前附表”的要求领取数字化平台底座测试账号。</w:t>
      </w:r>
    </w:p>
    <w:p w14:paraId="675A6BC8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询比文件购买流程：</w:t>
      </w:r>
    </w:p>
    <w:p w14:paraId="12E5D5B0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①登录“资源e采”阳光招标采购平台（https://www.scrgjc.com）；</w:t>
      </w:r>
    </w:p>
    <w:p w14:paraId="16438859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②完成供应商注册并缴纳CA认证费用（800元/年）完成认证；</w:t>
      </w:r>
    </w:p>
    <w:p w14:paraId="37D275C8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③对于已在网址注册并缴纳CA认证费用的供应商，点击【招标采购项目&gt;&gt;可参与的项目】报名参与本次采购活动。</w:t>
      </w:r>
    </w:p>
    <w:p w14:paraId="1FFD3D05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2.若因供应商提供的错误信息，对其参加后续询比活动造成影响的，由供应商自行承担所有责任。若供应商需变更报名信息，请于获取询比文件截止之日前到采购代理机构重新登记。</w:t>
      </w:r>
    </w:p>
    <w:p w14:paraId="511AA79B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eastAsia="宋体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</w:rPr>
        <w:t>3.询比文件售价：人民币500元/份（询比文件售后不退，询比资格不能转让）</w:t>
      </w:r>
      <w:r>
        <w:rPr>
          <w:rFonts w:hint="eastAsia"/>
          <w:color w:val="auto"/>
          <w:highlight w:val="none"/>
          <w:lang w:eastAsia="zh-CN"/>
        </w:rPr>
        <w:t>。</w:t>
      </w:r>
    </w:p>
    <w:p w14:paraId="069CC765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 xml:space="preserve">收款单位：四川省自然资源信息流转服务有限公司 </w:t>
      </w:r>
    </w:p>
    <w:p w14:paraId="479A1840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 xml:space="preserve">开户行名称：成都银行金牛支行 </w:t>
      </w:r>
    </w:p>
    <w:p w14:paraId="7DA12FAE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 xml:space="preserve">开户行账号：1001300001120960 </w:t>
      </w:r>
    </w:p>
    <w:p w14:paraId="2BAF1DA6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2" w:firstLineChars="200"/>
        <w:textAlignment w:val="baseline"/>
        <w:rPr>
          <w:b/>
          <w:bCs/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</w:rPr>
        <w:t>五、响应</w:t>
      </w:r>
      <w:r>
        <w:rPr>
          <w:rFonts w:hint="eastAsia"/>
          <w:b w:val="0"/>
          <w:bCs w:val="0"/>
          <w:color w:val="auto"/>
          <w:highlight w:val="none"/>
        </w:rPr>
        <w:t>文件的递交截止时</w:t>
      </w:r>
      <w:r>
        <w:rPr>
          <w:rFonts w:hint="eastAsia"/>
          <w:b/>
          <w:bCs/>
          <w:color w:val="auto"/>
          <w:highlight w:val="none"/>
        </w:rPr>
        <w:t>间和地点</w:t>
      </w:r>
    </w:p>
    <w:p w14:paraId="78113175">
      <w:pPr>
        <w:widowControl/>
        <w:shd w:val="clear"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left="0" w:leftChars="0"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1.响应文件递交的截止时间（询比申请截止时间，下同）为2026年</w:t>
      </w:r>
      <w:r>
        <w:rPr>
          <w:rFonts w:hint="eastAsia"/>
          <w:color w:val="auto"/>
          <w:highlight w:val="none"/>
          <w:lang w:val="en-US" w:eastAsia="zh-CN"/>
        </w:rPr>
        <w:t>9</w:t>
      </w:r>
      <w:r>
        <w:rPr>
          <w:rFonts w:hint="eastAsia"/>
          <w:color w:val="auto"/>
          <w:highlight w:val="none"/>
        </w:rPr>
        <w:t>月</w:t>
      </w:r>
      <w:r>
        <w:rPr>
          <w:rFonts w:hint="eastAsia"/>
          <w:color w:val="auto"/>
          <w:highlight w:val="none"/>
          <w:lang w:val="en-US" w:eastAsia="zh-CN"/>
        </w:rPr>
        <w:t>29</w:t>
      </w:r>
      <w:r>
        <w:rPr>
          <w:rFonts w:hint="eastAsia"/>
          <w:color w:val="auto"/>
          <w:highlight w:val="none"/>
        </w:rPr>
        <w:t>日</w:t>
      </w:r>
      <w:r>
        <w:rPr>
          <w:rFonts w:hint="eastAsia"/>
          <w:color w:val="auto"/>
          <w:highlight w:val="none"/>
          <w:lang w:val="en-US" w:eastAsia="zh-CN"/>
        </w:rPr>
        <w:t xml:space="preserve"> 10</w:t>
      </w:r>
      <w:r>
        <w:rPr>
          <w:rFonts w:hint="eastAsia"/>
          <w:color w:val="auto"/>
          <w:highlight w:val="none"/>
        </w:rPr>
        <w:t>时</w:t>
      </w:r>
      <w:r>
        <w:rPr>
          <w:rFonts w:hint="eastAsia"/>
          <w:color w:val="auto"/>
          <w:highlight w:val="none"/>
          <w:lang w:val="en-US" w:eastAsia="zh-CN"/>
        </w:rPr>
        <w:t>00</w:t>
      </w:r>
      <w:r>
        <w:rPr>
          <w:rFonts w:hint="eastAsia"/>
          <w:color w:val="auto"/>
          <w:highlight w:val="none"/>
        </w:rPr>
        <w:t>分，递交方式为：前往“资源e采”阳光招标采购平台（https://www.scrgjc.com）在线递交经供应商数字证书加密的数据电文形式响应文件。</w:t>
      </w:r>
    </w:p>
    <w:p w14:paraId="46A352A2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 w:ascii="宋体" w:hAnsi="宋体" w:cs="宋体"/>
          <w:color w:val="auto"/>
          <w:szCs w:val="21"/>
          <w:highlight w:val="none"/>
        </w:rPr>
        <w:t>供应商应当在交易系统下载的操作手册，并严格按照操作手册要求进行系统操作。供应商参与本项目电子化采购活动的范围主要包括：获取询比文件，编制、签章、加密并提交响应文件，参加询比、解密响应文件和电子评标等。</w:t>
      </w:r>
    </w:p>
    <w:p w14:paraId="02A5F7E2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2.逾期送达的或者未送达指定地点的响应文件，采购人不予受理。</w:t>
      </w:r>
    </w:p>
    <w:p w14:paraId="34234336">
      <w:pPr>
        <w:widowControl/>
        <w:shd w:val="clear"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/>
          <w:b w:val="0"/>
          <w:color w:val="auto"/>
          <w:highlight w:val="none"/>
        </w:rPr>
      </w:pPr>
      <w:r>
        <w:rPr>
          <w:rFonts w:hint="eastAsia"/>
          <w:b w:val="0"/>
          <w:bCs w:val="0"/>
          <w:color w:val="auto"/>
          <w:highlight w:val="none"/>
        </w:rPr>
        <w:t>六、询比时间及地点</w:t>
      </w:r>
    </w:p>
    <w:p w14:paraId="47D64B9B">
      <w:pPr>
        <w:widowControl/>
        <w:shd w:val="clear"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1.询比时间：2026年</w:t>
      </w:r>
      <w:r>
        <w:rPr>
          <w:rFonts w:hint="eastAsia"/>
          <w:color w:val="auto"/>
          <w:highlight w:val="none"/>
          <w:lang w:val="en-US" w:eastAsia="zh-CN"/>
        </w:rPr>
        <w:t>9</w:t>
      </w:r>
      <w:r>
        <w:rPr>
          <w:rFonts w:hint="eastAsia"/>
          <w:color w:val="auto"/>
          <w:highlight w:val="none"/>
        </w:rPr>
        <w:t>月</w:t>
      </w:r>
      <w:r>
        <w:rPr>
          <w:rFonts w:hint="eastAsia"/>
          <w:color w:val="auto"/>
          <w:highlight w:val="none"/>
          <w:lang w:val="en-US" w:eastAsia="zh-CN"/>
        </w:rPr>
        <w:t>29</w:t>
      </w:r>
      <w:r>
        <w:rPr>
          <w:rFonts w:hint="eastAsia"/>
          <w:color w:val="auto"/>
          <w:highlight w:val="none"/>
        </w:rPr>
        <w:t>日</w:t>
      </w:r>
      <w:r>
        <w:rPr>
          <w:rFonts w:hint="eastAsia"/>
          <w:color w:val="auto"/>
          <w:highlight w:val="none"/>
          <w:lang w:val="en-US" w:eastAsia="zh-CN"/>
        </w:rPr>
        <w:t>10:00</w:t>
      </w:r>
      <w:r>
        <w:rPr>
          <w:rFonts w:hint="eastAsia"/>
          <w:color w:val="auto"/>
          <w:highlight w:val="none"/>
        </w:rPr>
        <w:t>。</w:t>
      </w:r>
    </w:p>
    <w:p w14:paraId="031F53C0">
      <w:pPr>
        <w:widowControl/>
        <w:shd w:val="clear"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2.地点：四川省成都市成华区崔家店路75号1幢14楼四川资源集团招标中心。</w:t>
      </w:r>
      <w:r>
        <w:rPr>
          <w:rFonts w:hint="eastAsia" w:ascii="Times New Roman" w:hAnsi="Times New Roman" w:eastAsia="宋体" w:cs="Times New Roman"/>
          <w:bCs w:val="0"/>
          <w:snapToGrid/>
          <w:color w:val="auto"/>
          <w:kern w:val="2"/>
          <w:sz w:val="24"/>
          <w:szCs w:val="24"/>
          <w:highlight w:val="none"/>
          <w:lang w:val="en-US" w:eastAsia="zh-CN"/>
        </w:rPr>
        <w:t>“资源e采”阳光招标采购平台（https://www.scrgjc.com）</w:t>
      </w:r>
      <w:r>
        <w:rPr>
          <w:rFonts w:hint="eastAsia"/>
          <w:color w:val="auto"/>
          <w:highlight w:val="none"/>
        </w:rPr>
        <w:t>。</w:t>
      </w:r>
    </w:p>
    <w:p w14:paraId="63DCA971">
      <w:pPr>
        <w:widowControl/>
        <w:shd w:val="clear"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3.请各供应商在询比开始后30分钟内完成响应文件解密，逾期完成解密的供应商不得参与询比。</w:t>
      </w:r>
    </w:p>
    <w:p w14:paraId="235D32D7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2" w:firstLineChars="200"/>
        <w:textAlignment w:val="baseline"/>
        <w:rPr>
          <w:b/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</w:rPr>
        <w:t>七、公告发布媒介</w:t>
      </w:r>
    </w:p>
    <w:p w14:paraId="497423F8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本项目询比采购公告在“资源e采”阳光招标采购平台（https://www.scrgjc.com）上发布。</w:t>
      </w:r>
    </w:p>
    <w:p w14:paraId="0794ADF9">
      <w:pPr>
        <w:widowControl/>
        <w:tabs>
          <w:tab w:val="left" w:pos="1728"/>
        </w:tabs>
        <w:kinsoku w:val="0"/>
        <w:autoSpaceDE w:val="0"/>
        <w:autoSpaceDN w:val="0"/>
        <w:adjustRightInd w:val="0"/>
        <w:snapToGrid w:val="0"/>
        <w:spacing w:line="360" w:lineRule="auto"/>
        <w:ind w:firstLine="482" w:firstLineChars="200"/>
        <w:textAlignment w:val="baseline"/>
        <w:rPr>
          <w:b/>
          <w:bCs/>
          <w:color w:val="auto"/>
          <w:highlight w:val="none"/>
        </w:rPr>
      </w:pPr>
      <w:r>
        <w:rPr>
          <w:rFonts w:hint="eastAsia"/>
          <w:b/>
          <w:bCs/>
          <w:color w:val="auto"/>
          <w:highlight w:val="none"/>
        </w:rPr>
        <w:t>八、联系方式</w:t>
      </w:r>
    </w:p>
    <w:p w14:paraId="6DE2EADE">
      <w:pPr>
        <w:widowControl/>
        <w:tabs>
          <w:tab w:val="left" w:pos="1728"/>
        </w:tabs>
        <w:kinsoku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eastAsia="宋体"/>
          <w:color w:val="auto"/>
          <w:highlight w:val="none"/>
          <w:lang w:eastAsia="zh-CN"/>
        </w:rPr>
      </w:pPr>
      <w:r>
        <w:rPr>
          <w:rFonts w:hint="eastAsia"/>
          <w:color w:val="auto"/>
          <w:highlight w:val="none"/>
        </w:rPr>
        <w:t>采购人：</w:t>
      </w:r>
      <w:r>
        <w:rPr>
          <w:rFonts w:hint="eastAsia"/>
          <w:color w:val="auto"/>
          <w:highlight w:val="none"/>
          <w:lang w:eastAsia="zh-CN"/>
        </w:rPr>
        <w:t>四川省自然资源数字科技有限责任公司</w:t>
      </w:r>
    </w:p>
    <w:p w14:paraId="5B64CC59">
      <w:pPr>
        <w:widowControl/>
        <w:wordWrap w:val="0"/>
        <w:snapToGrid w:val="0"/>
        <w:spacing w:line="360" w:lineRule="auto"/>
        <w:ind w:firstLine="480" w:firstLineChars="200"/>
        <w:rPr>
          <w:rFonts w:hint="eastAsia" w:ascii="宋体" w:hAnsi="宋体" w:eastAsia="宋体"/>
          <w:sz w:val="24"/>
          <w:szCs w:val="24"/>
          <w:highlight w:val="none"/>
          <w:u w:val="none"/>
          <w:lang w:eastAsia="zh-CN"/>
        </w:rPr>
      </w:pPr>
      <w:r>
        <w:rPr>
          <w:rFonts w:hint="eastAsia"/>
          <w:color w:val="auto"/>
          <w:highlight w:val="none"/>
        </w:rPr>
        <w:t>地    址：</w:t>
      </w:r>
      <w:r>
        <w:rPr>
          <w:rFonts w:hint="eastAsia" w:ascii="宋体" w:hAnsi="宋体" w:eastAsia="宋体"/>
          <w:sz w:val="24"/>
          <w:szCs w:val="24"/>
          <w:highlight w:val="none"/>
          <w:u w:val="none"/>
          <w:lang w:val="en-US" w:eastAsia="zh-CN"/>
        </w:rPr>
        <w:t>四川省成都市武侯区火车南站西路18号1栋2单元1601</w:t>
      </w:r>
      <w:r>
        <w:rPr>
          <w:rFonts w:hint="eastAsia" w:ascii="宋体" w:hAnsi="宋体" w:eastAsia="宋体"/>
          <w:sz w:val="24"/>
          <w:szCs w:val="24"/>
          <w:highlight w:val="none"/>
          <w:u w:val="none"/>
          <w:lang w:eastAsia="zh-CN"/>
        </w:rPr>
        <w:t xml:space="preserve"> </w:t>
      </w:r>
    </w:p>
    <w:p w14:paraId="584CD527">
      <w:pPr>
        <w:widowControl/>
        <w:wordWrap w:val="0"/>
        <w:snapToGrid w:val="0"/>
        <w:spacing w:line="360" w:lineRule="auto"/>
        <w:ind w:firstLine="480" w:firstLineChars="200"/>
        <w:rPr>
          <w:rFonts w:hint="default" w:ascii="宋体" w:hAnsi="宋体" w:eastAsia="宋体" w:cs="Times New Roman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宋体" w:hAnsi="宋体" w:eastAsia="宋体" w:cs="Times New Roman"/>
          <w:kern w:val="2"/>
          <w:sz w:val="24"/>
          <w:szCs w:val="24"/>
          <w:highlight w:val="none"/>
          <w:u w:val="none"/>
          <w:lang w:val="en-US" w:eastAsia="zh-CN" w:bidi="ar-SA"/>
        </w:rPr>
        <w:t>邮    编：610041</w:t>
      </w:r>
    </w:p>
    <w:p w14:paraId="37E2957B">
      <w:pPr>
        <w:widowControl/>
        <w:tabs>
          <w:tab w:val="left" w:pos="1728"/>
        </w:tabs>
        <w:kinsoku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</w:rPr>
        <w:t>联 系 人：</w:t>
      </w:r>
      <w:r>
        <w:rPr>
          <w:rFonts w:hint="eastAsia" w:ascii="宋体" w:hAnsi="宋体" w:eastAsia="宋体"/>
          <w:sz w:val="24"/>
        </w:rPr>
        <w:t>徐老师</w:t>
      </w:r>
    </w:p>
    <w:p w14:paraId="6C30DA7C">
      <w:pPr>
        <w:widowControl/>
        <w:tabs>
          <w:tab w:val="left" w:pos="1728"/>
        </w:tabs>
        <w:kinsoku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</w:rPr>
        <w:t>电    话：028-85019679</w:t>
      </w:r>
    </w:p>
    <w:p w14:paraId="26609EDE">
      <w:pPr>
        <w:widowControl/>
        <w:tabs>
          <w:tab w:val="left" w:pos="1728"/>
        </w:tabs>
        <w:kinsoku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采购代理机构：四川省自然资源信息流转服务有限公司</w:t>
      </w:r>
    </w:p>
    <w:p w14:paraId="63BB6850">
      <w:pPr>
        <w:widowControl/>
        <w:tabs>
          <w:tab w:val="left" w:pos="1728"/>
        </w:tabs>
        <w:kinsoku w:val="0"/>
        <w:adjustRightInd w:val="0"/>
        <w:snapToGrid w:val="0"/>
        <w:spacing w:line="360" w:lineRule="auto"/>
        <w:ind w:firstLine="480" w:firstLineChars="200"/>
        <w:textAlignment w:val="baseline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通讯地址：四川省成都市成华区崔家店路75号1幢</w:t>
      </w:r>
    </w:p>
    <w:p w14:paraId="279DB1B6">
      <w:pPr>
        <w:widowControl/>
        <w:tabs>
          <w:tab w:val="left" w:pos="1728"/>
        </w:tabs>
        <w:kinsoku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Times New Roman" w:hAnsi="Times New Roman" w:eastAsia="宋体" w:cs="Times New Roman"/>
          <w:color w:val="auto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highlight w:val="none"/>
        </w:rPr>
        <w:t>联系人：</w:t>
      </w:r>
      <w:r>
        <w:rPr>
          <w:rFonts w:hint="eastAsia" w:cs="Times New Roman"/>
          <w:color w:val="auto"/>
          <w:highlight w:val="none"/>
          <w:lang w:val="en-US" w:eastAsia="zh-CN"/>
        </w:rPr>
        <w:t>胡</w:t>
      </w:r>
      <w:r>
        <w:rPr>
          <w:rFonts w:hint="eastAsia" w:ascii="Times New Roman" w:hAnsi="Times New Roman" w:eastAsia="宋体" w:cs="Times New Roman"/>
          <w:color w:val="auto"/>
          <w:highlight w:val="none"/>
        </w:rPr>
        <w:t>老师</w:t>
      </w:r>
    </w:p>
    <w:p w14:paraId="67B75520">
      <w:pPr>
        <w:widowControl/>
        <w:tabs>
          <w:tab w:val="left" w:pos="1728"/>
        </w:tabs>
        <w:kinsoku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default" w:ascii="Times New Roman" w:hAnsi="Times New Roman" w:eastAsia="宋体" w:cs="Times New Roman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highlight w:val="none"/>
        </w:rPr>
        <w:t>联系电话：</w:t>
      </w:r>
      <w:r>
        <w:rPr>
          <w:rFonts w:hint="eastAsia" w:cs="Times New Roman"/>
          <w:color w:val="auto"/>
          <w:highlight w:val="none"/>
          <w:lang w:val="en-US" w:eastAsia="zh-CN"/>
        </w:rPr>
        <w:t>19851936612</w:t>
      </w:r>
    </w:p>
    <w:p w14:paraId="23592B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889E95"/>
    <w:multiLevelType w:val="singleLevel"/>
    <w:tmpl w:val="BC889E95"/>
    <w:lvl w:ilvl="0" w:tentative="0">
      <w:start w:val="7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6E463D"/>
    <w:rsid w:val="696E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20" w:lineRule="exact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20" w:after="120" w:line="578" w:lineRule="auto"/>
      <w:jc w:val="center"/>
      <w:outlineLvl w:val="0"/>
    </w:pPr>
    <w:rPr>
      <w:b/>
      <w:kern w:val="44"/>
      <w:sz w:val="44"/>
      <w:szCs w:val="20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2026-09-20T09:37:00Z</dcterms:created>
  <dc:creator>SKADI</dc:creator>
  <cp:lastModifiedBy>SKADI</cp:lastModifiedBy>
  <dcterms:modified xsi:type="dcterms:W3CDTF">2026-09-20T09:37:24Z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7B21B7C52A5A403AA8A079674E7F939A_11</vt:lpwstr>
  </property>
  <property fmtid="{D5CDD505-2E9C-101B-9397-08002B2CF9AE}" pid="4" name="KSOTemplateDocerSaveRecord">
    <vt:lpwstr>eyJoZGlkIjoiYjFkNTE0ZDhkM2Q3NWViZjhlOWQ0MTg5OTc4MzVmZDciLCJ1c2VySWQiOiI2NzAzOTcxMzMifQ==</vt:lpwstr>
  </property>
</Properties>
</file>