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107B8">
      <w:pPr>
        <w:pStyle w:val="2"/>
        <w:numPr>
          <w:ilvl w:val="0"/>
          <w:numId w:val="0"/>
        </w:numPr>
        <w:overflowPunct w:val="0"/>
        <w:topLinePunct/>
        <w:autoSpaceDE/>
        <w:autoSpaceDN/>
        <w:snapToGrid/>
        <w:jc w:val="center"/>
        <w:rPr>
          <w:rFonts w:hint="eastAsia" w:ascii="宋体" w:hAnsi="宋体" w:eastAsia="宋体" w:cs="宋体"/>
          <w:b/>
          <w:i w:val="0"/>
          <w:color w:val="auto"/>
          <w:sz w:val="44"/>
          <w:szCs w:val="44"/>
          <w:lang w:eastAsia="zh-CN"/>
        </w:rPr>
      </w:pPr>
      <w:r>
        <w:rPr>
          <w:rFonts w:hint="eastAsia" w:ascii="宋体" w:hAnsi="宋体" w:eastAsia="宋体" w:cs="宋体"/>
          <w:b/>
          <w:i w:val="0"/>
          <w:color w:val="auto"/>
          <w:sz w:val="44"/>
          <w:szCs w:val="44"/>
          <w:lang w:val="en-US" w:eastAsia="zh-CN"/>
        </w:rPr>
        <w:t>四川省德格县安比隆巴金矿勘查项目临时占用草原生态影响评价与植被恢复保护方案</w:t>
      </w:r>
    </w:p>
    <w:p w14:paraId="1B4AB099">
      <w:pPr>
        <w:pStyle w:val="2"/>
        <w:overflowPunct w:val="0"/>
        <w:topLinePunct/>
        <w:autoSpaceDE/>
        <w:autoSpaceDN/>
        <w:bidi w:val="0"/>
        <w:snapToGrid/>
        <w:rPr>
          <w:rFonts w:hint="eastAsia"/>
        </w:rPr>
      </w:pPr>
    </w:p>
    <w:p w14:paraId="2F6C980D">
      <w:pPr>
        <w:pStyle w:val="2"/>
        <w:numPr>
          <w:ilvl w:val="0"/>
          <w:numId w:val="1"/>
        </w:numPr>
        <w:overflowPunct w:val="0"/>
        <w:topLinePunct/>
        <w:autoSpaceDE/>
        <w:autoSpaceDN/>
        <w:snapToGrid/>
        <w:ind w:left="0" w:leftChars="0" w:firstLine="616" w:firstLineChars="0"/>
        <w:rPr>
          <w:b/>
          <w:i w:val="0"/>
          <w:color w:val="auto"/>
        </w:rPr>
      </w:pPr>
      <mc:AlternateContent>
        <mc:Choice Requires="wpsCustomData">
          <wpsCustomData:docfieldStart id="0" docfieldname="正文" hidden="0" print="1" readonly="0" index="54"/>
        </mc:Choice>
      </mc:AlternateContent>
      <w:r>
        <w:rPr>
          <w:b/>
          <w:i w:val="0"/>
          <w:color w:val="auto"/>
          <w:spacing wpsCustomData:val="-6" w:val="1"/>
        </w:rPr>
        <w:t>项目名称：</w:t>
      </w:r>
      <w:r>
        <w:rPr>
          <w:rFonts w:hint="eastAsia"/>
          <w:b/>
          <w:i w:val="0"/>
          <w:color w:val="auto"/>
          <w:spacing wpsCustomData:val="-6" w:val="1"/>
          <w:lang w:val="en-US" w:eastAsia="zh-CN"/>
        </w:rPr>
        <w:t>四川省德格县安比隆巴金矿勘查项目临时占用草原生态影响评价与植被恢复保护方案</w:t>
      </w:r>
    </w:p>
    <w:p w14:paraId="3E32455A">
      <w:pPr>
        <w:pStyle w:val="2"/>
        <w:numPr>
          <w:ilvl w:val="0"/>
          <w:numId w:val="1"/>
        </w:numPr>
        <w:overflowPunct w:val="0"/>
        <w:topLinePunct/>
        <w:autoSpaceDE/>
        <w:autoSpaceDN/>
        <w:snapToGrid/>
        <w:ind w:left="0" w:leftChars="0" w:firstLine="616" w:firstLineChars="0"/>
        <w:rPr>
          <w:b/>
          <w:i w:val="0"/>
          <w:color w:val="auto"/>
        </w:rPr>
      </w:pPr>
      <w:r>
        <w:rPr>
          <w:b/>
          <w:i w:val="0"/>
          <w:color w:val="auto"/>
        </w:rPr>
        <w:t>项目编号：</w:t>
      </w:r>
      <w:r>
        <w:rPr>
          <w:rFonts w:hint="eastAsia"/>
          <w:b/>
          <w:i w:val="0"/>
          <w:color w:val="auto"/>
          <w:lang w:eastAsia="zh-CN"/>
        </w:rPr>
        <w:t>SCRG-FW-BDDZ-202608-00291</w:t>
      </w:r>
      <w:bookmarkStart w:id="0" w:name="_GoBack"/>
      <w:bookmarkEnd w:id="0"/>
    </w:p>
    <w:p w14:paraId="0E6493E1">
      <w:pPr>
        <w:pStyle w:val="2"/>
        <w:numPr>
          <w:ilvl w:val="0"/>
          <w:numId w:val="1"/>
        </w:numPr>
        <w:overflowPunct w:val="0"/>
        <w:topLinePunct/>
        <w:autoSpaceDE/>
        <w:autoSpaceDN/>
        <w:snapToGrid/>
        <w:ind w:left="0" w:leftChars="0" w:firstLine="616" w:firstLineChars="0"/>
        <w:rPr>
          <w:b/>
          <w:i w:val="0"/>
          <w:color w:val="auto"/>
        </w:rPr>
      </w:pPr>
      <w:r>
        <w:rPr>
          <w:b/>
          <w:i w:val="0"/>
          <w:color w:val="auto"/>
        </w:rPr>
        <w:t>评审情况：</w:t>
      </w:r>
    </w:p>
    <w:p w14:paraId="02C489BA">
      <w:pPr>
        <w:pStyle w:val="2"/>
        <w:widowControl/>
        <w:pBdr>
          <w:top w:val="none" w:color="auto" w:sz="0" w:space="0"/>
          <w:left w:val="none" w:color="auto" w:sz="0" w:space="0"/>
          <w:bottom w:val="none" w:color="auto" w:sz="0" w:space="0"/>
          <w:right w:val="none" w:color="auto" w:sz="0" w:space="0"/>
        </w:pBdr>
        <w:overflowPunct w:val="0"/>
        <w:topLinePunct/>
        <w:autoSpaceDE/>
        <w:autoSpaceDN/>
        <w:snapToGrid/>
        <w:rPr>
          <w:rFonts w:hint="default" w:cs="Times New Roman"/>
          <w:b w:val="0"/>
          <w:i w:val="0"/>
          <w:color w:val="auto"/>
          <w:lang w:val="en-US" w:eastAsia="zh-CN"/>
        </w:rPr>
      </w:pPr>
      <w:r>
        <w:rPr>
          <w:rFonts w:hint="eastAsia" w:cs="Times New Roman"/>
          <w:b w:val="0"/>
          <w:i w:val="0"/>
          <w:color w:val="auto"/>
          <w:lang w:val="en-US" w:eastAsia="zh-CN"/>
        </w:rPr>
        <w:t>成交人：成都璟昱华宸环保科技有限公司</w:t>
      </w:r>
    </w:p>
    <w:p w14:paraId="1481AD73">
      <w:pPr>
        <w:pStyle w:val="2"/>
        <w:widowControl/>
        <w:pBdr>
          <w:top w:val="none" w:color="auto" w:sz="0" w:space="0"/>
          <w:left w:val="none" w:color="auto" w:sz="0" w:space="0"/>
          <w:bottom w:val="none" w:color="auto" w:sz="0" w:space="0"/>
          <w:right w:val="none" w:color="auto" w:sz="0" w:space="0"/>
        </w:pBdr>
        <w:overflowPunct w:val="0"/>
        <w:topLinePunct/>
        <w:autoSpaceDE/>
        <w:autoSpaceDN/>
        <w:snapToGrid/>
        <w:rPr>
          <w:rFonts w:hint="default" w:cs="Times New Roman"/>
          <w:b w:val="0"/>
          <w:i w:val="0"/>
          <w:color w:val="auto"/>
          <w:lang w:val="en-US" w:eastAsia="zh-CN"/>
        </w:rPr>
      </w:pPr>
      <w:r>
        <w:rPr>
          <w:rFonts w:hint="eastAsia" w:cs="Times New Roman"/>
          <w:b w:val="0"/>
          <w:i w:val="0"/>
          <w:color w:val="auto"/>
          <w:lang w:val="en-US" w:eastAsia="zh-CN"/>
        </w:rPr>
        <w:t>第二成交候选人：四川蓉智创工程咨询有限公司</w:t>
      </w:r>
    </w:p>
    <w:p w14:paraId="75CE6073">
      <w:pPr>
        <w:pStyle w:val="2"/>
        <w:widowControl/>
        <w:pBdr>
          <w:top w:val="none" w:color="auto" w:sz="0" w:space="0"/>
          <w:left w:val="none" w:color="auto" w:sz="0" w:space="0"/>
          <w:bottom w:val="none" w:color="auto" w:sz="0" w:space="0"/>
          <w:right w:val="none" w:color="auto" w:sz="0" w:space="0"/>
        </w:pBdr>
        <w:overflowPunct w:val="0"/>
        <w:topLinePunct/>
        <w:autoSpaceDE/>
        <w:autoSpaceDN/>
        <w:snapToGrid/>
        <w:rPr>
          <w:rFonts w:hint="default" w:cs="Times New Roman"/>
          <w:b w:val="0"/>
          <w:i w:val="0"/>
          <w:color w:val="auto"/>
          <w:lang w:val="en-US" w:eastAsia="zh-CN"/>
        </w:rPr>
      </w:pPr>
      <w:r>
        <w:rPr>
          <w:rFonts w:hint="eastAsia" w:cs="Times New Roman"/>
          <w:b w:val="0"/>
          <w:i w:val="0"/>
          <w:color w:val="auto"/>
          <w:lang w:val="en-US" w:eastAsia="zh-CN"/>
        </w:rPr>
        <w:t>第三成交候选人：四川盛赟工程咨询有限公司</w:t>
      </w:r>
    </w:p>
    <w:p w14:paraId="0F6FFCE8">
      <w:pPr>
        <w:pStyle w:val="2"/>
        <w:numPr>
          <w:ilvl w:val="0"/>
          <w:numId w:val="1"/>
        </w:numPr>
        <w:overflowPunct w:val="0"/>
        <w:topLinePunct/>
        <w:autoSpaceDE/>
        <w:autoSpaceDN/>
        <w:snapToGrid/>
        <w:ind w:left="0" w:leftChars="0" w:firstLine="616" w:firstLineChars="0"/>
        <w:rPr>
          <w:b/>
          <w:i w:val="0"/>
          <w:color w:val="auto"/>
        </w:rPr>
      </w:pPr>
      <w:r>
        <w:rPr>
          <w:b/>
          <w:i w:val="0"/>
          <w:color w:val="auto"/>
        </w:rPr>
        <w:t>公告期限：</w:t>
      </w:r>
      <w:r>
        <w:rPr>
          <w:i w:val="0"/>
          <w:color w:val="auto"/>
        </w:rPr>
        <w:t>自本公告发布之日起1个工作日。</w:t>
      </w:r>
    </w:p>
    <w:p w14:paraId="4857FC78">
      <w:pPr>
        <w:pStyle w:val="2"/>
        <w:numPr>
          <w:ilvl w:val="0"/>
          <w:numId w:val="1"/>
        </w:numPr>
        <w:overflowPunct w:val="0"/>
        <w:topLinePunct/>
        <w:autoSpaceDE/>
        <w:autoSpaceDN/>
        <w:snapToGrid/>
        <w:ind w:left="0" w:leftChars="0" w:firstLine="616" w:firstLineChars="0"/>
        <w:rPr>
          <w:b/>
          <w:i w:val="0"/>
          <w:color w:val="auto"/>
        </w:rPr>
      </w:pPr>
      <w:r>
        <w:rPr>
          <w:b/>
          <w:i w:val="0"/>
          <w:color w:val="auto"/>
        </w:rPr>
        <w:t>联系方式：</w:t>
      </w:r>
    </w:p>
    <w:p w14:paraId="3E54D783">
      <w:pPr>
        <w:pStyle w:val="2"/>
        <w:rPr>
          <w:rFonts w:hint="eastAsia"/>
          <w:lang w:val="en-US" w:eastAsia="zh-CN"/>
        </w:rPr>
      </w:pPr>
      <w:r>
        <w:rPr>
          <w:rFonts w:hint="eastAsia"/>
          <w:lang w:val="en-US" w:eastAsia="zh-CN"/>
        </w:rPr>
        <w:t>采购人：四川省博达地质勘察研究有限公司</w:t>
      </w:r>
    </w:p>
    <w:p w14:paraId="56194046">
      <w:pPr>
        <w:numPr>
          <w:ilvl w:val="0"/>
          <w:numId w:val="0"/>
        </w:numPr>
        <w:spacing w:line="560" w:lineRule="exact"/>
        <w:ind w:firstLine="616" w:firstLineChars="200"/>
      </w:pPr>
      <w:r>
        <w:rPr>
          <w:rFonts w:hint="eastAsia"/>
          <w:lang w:val="en-US" w:eastAsia="zh-CN"/>
        </w:rPr>
        <w:t>地    址：</w:t>
      </w:r>
      <w:r>
        <w:rPr>
          <w:rFonts w:hint="eastAsia" w:ascii="仿宋_GB2312" w:hAnsi="仿宋_GB2312" w:eastAsia="仿宋_GB2312" w:cs="Times New Roman"/>
          <w:spacing w:val="-6"/>
          <w:kern w:val="2"/>
          <w:sz w:val="32"/>
          <w:szCs w:val="32"/>
          <w:lang w:val="en-US" w:eastAsia="zh-CN" w:bidi="ar-SA"/>
        </w:rPr>
        <w:t>成都市青羊区鼓楼北二街24号四川省地矿集团3楼309</w:t>
      </w:r>
    </w:p>
    <w:p w14:paraId="297F1053">
      <w:pPr>
        <w:pStyle w:val="2"/>
        <w:rPr>
          <w:rFonts w:hint="default"/>
          <w:lang w:val="en-US" w:eastAsia="zh-CN"/>
        </w:rPr>
      </w:pPr>
      <w:r>
        <w:rPr>
          <w:rFonts w:hint="eastAsia"/>
          <w:lang w:val="en-US" w:eastAsia="zh-CN"/>
        </w:rPr>
        <w:t>联 系 人：</w:t>
      </w:r>
      <w:r>
        <w:rPr>
          <w:rFonts w:hint="eastAsia" w:ascii="宋体" w:hAnsi="宋体" w:cs="宋体"/>
          <w:color w:val="auto"/>
          <w:highlight w:val="none"/>
          <w:lang w:val="en-US" w:eastAsia="zh-CN"/>
        </w:rPr>
        <w:t>魏先生</w:t>
      </w:r>
    </w:p>
    <w:p w14:paraId="3AA3ABC2">
      <w:pPr>
        <w:pStyle w:val="2"/>
        <w:rPr>
          <w:rFonts w:hint="eastAsia" w:ascii="宋体" w:hAnsi="宋体" w:eastAsia="宋体" w:cs="宋体"/>
          <w:color w:val="auto"/>
          <w:szCs w:val="24"/>
          <w:highlight w:val="none"/>
          <w:u w:val="none"/>
        </w:rPr>
      </w:pPr>
      <w:r>
        <w:rPr>
          <w:rFonts w:hint="eastAsia"/>
          <w:lang w:val="en-US" w:eastAsia="zh-CN"/>
        </w:rPr>
        <w:t>电    话：</w:t>
      </w:r>
      <w:r>
        <w:rPr>
          <w:rFonts w:hint="eastAsia" w:ascii="宋体" w:hAnsi="宋体" w:cs="宋体"/>
          <w:color w:val="auto"/>
          <w:highlight w:val="none"/>
          <w:lang w:val="en-US" w:eastAsia="zh-CN"/>
        </w:rPr>
        <w:t>15202805940</w:t>
      </w:r>
      <w:r>
        <w:rPr>
          <w:rFonts w:hint="eastAsia" w:ascii="宋体" w:hAnsi="宋体" w:eastAsia="宋体" w:cs="宋体"/>
          <w:color w:val="auto"/>
          <w:szCs w:val="24"/>
          <w:highlight w:val="none"/>
          <w:u w:val="none"/>
        </w:rPr>
        <w:t xml:space="preserve"> </w:t>
      </w:r>
    </w:p>
    <w:p w14:paraId="2582C3BF">
      <w:pPr>
        <w:rPr>
          <w:rFonts w:hint="default"/>
          <w:lang w:val="en-US" w:eastAsia="zh-CN"/>
        </w:rPr>
      </w:pPr>
    </w:p>
    <mc:AlternateContent>
      <mc:Choice Requires="wpsCustomData">
        <wpsCustomData:docfieldEnd id="0"/>
      </mc:Choice>
    </mc:AlternateContent>
    <w:p w14:paraId="0D157209">
      <w:pPr>
        <w:numPr>
          <w:ilvl w:val="0"/>
          <w:numId w:val="0"/>
        </w:numPr>
        <w:spacing w:line="560" w:lineRule="exact"/>
        <w:ind w:firstLine="616" w:firstLineChars="200"/>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D315">
    <w:pPr>
      <w:pStyle w:val="3"/>
      <w:wordWrap w:val="0"/>
      <w:spacing w:line="473" w:lineRule="auto"/>
      <w:ind w:right="308" w:rightChars="100"/>
      <w:jc w:val="right"/>
      <w:rPr>
        <w:rFonts w:hint="eastAsia" w:ascii="楷体_GB2312" w:eastAsia="楷体_GB2312"/>
        <w:sz w:val="28"/>
      </w:rPr>
    </w:pPr>
    <w:r>
      <w:rPr>
        <w:rStyle w:val="7"/>
        <w:rFonts w:hint="eastAsia" w:ascii="宋体" w:hAnsi="宋体" w:eastAsia="宋体"/>
        <w:sz w:val="28"/>
      </w:rPr>
      <w:t xml:space="preserve">— </w:t>
    </w:r>
    <w:r>
      <w:rPr>
        <w:rFonts w:hint="eastAsia" w:ascii="宋体" w:hAnsi="宋体" w:eastAsia="宋体"/>
        <w:sz w:val="28"/>
      </w:rPr>
      <w:fldChar w:fldCharType="begin"/>
    </w:r>
    <w:r>
      <w:rPr>
        <w:rStyle w:val="7"/>
        <w:rFonts w:hint="eastAsia" w:ascii="宋体" w:hAnsi="宋体" w:eastAsia="宋体"/>
        <w:sz w:val="28"/>
      </w:rPr>
      <w:instrText xml:space="preserve"> PAGE </w:instrText>
    </w:r>
    <w:r>
      <w:rPr>
        <w:rFonts w:hint="eastAsia" w:ascii="宋体" w:hAnsi="宋体" w:eastAsia="宋体"/>
        <w:sz w:val="28"/>
      </w:rPr>
      <w:fldChar w:fldCharType="separate"/>
    </w:r>
    <w:r>
      <w:rPr>
        <w:rStyle w:val="7"/>
        <w:rFonts w:ascii="宋体" w:hAnsi="宋体" w:eastAsia="宋体"/>
        <w:sz w:val="28"/>
      </w:rPr>
      <w:t>1</w:t>
    </w:r>
    <w:r>
      <w:rPr>
        <w:rFonts w:hint="eastAsia" w:ascii="宋体" w:hAnsi="宋体" w:eastAsia="宋体"/>
        <w:sz w:val="28"/>
      </w:rPr>
      <w:fldChar w:fldCharType="end"/>
    </w:r>
    <w:r>
      <w:rPr>
        <w:rFonts w:hint="eastAsia" w:ascii="宋体" w:hAnsi="宋体" w:eastAsia="宋体"/>
        <w:sz w:val="28"/>
      </w:rPr>
      <w:t xml:space="preserve"> </w:t>
    </w:r>
    <w:r>
      <w:rPr>
        <w:rStyle w:val="7"/>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197B31"/>
    <w:multiLevelType w:val="singleLevel"/>
    <w:tmpl w:val="4E197B31"/>
    <w:lvl w:ilvl="0" w:tentative="0">
      <w:start w:val="1"/>
      <w:numFmt w:val="chineseCounting"/>
      <w:suff w:val="nothing"/>
      <w:lvlText w:val="%1、"/>
      <w:lvlJc w:val="left"/>
      <w:pPr>
        <w:ind w:left="0" w:firstLine="616"/>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1478F"/>
    <w:rsid w:val="0BBF055E"/>
    <w:rsid w:val="1190415C"/>
    <w:rsid w:val="1F9C7C43"/>
    <w:rsid w:val="569E09BA"/>
    <w:rsid w:val="76414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60" w:lineRule="exact"/>
      <w:ind w:firstLine="630" w:firstLineChars="200"/>
    </w:pPr>
    <w:rPr>
      <w:rFonts w:ascii="仿宋_GB2312" w:hAnsi="仿宋_GB2312" w:eastAsia="仿宋_GB2312" w:cs="Times New Roman"/>
      <w:spacing w:val="-6"/>
      <w:sz w:val="32"/>
    </w:r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character" w:styleId="7">
    <w:name w:val="page number"/>
    <w:basedOn w:val="6"/>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230</Words>
  <Characters>267</Characters>
  <Lines>0</Lines>
  <Paragraphs>0</Paragraphs>
  <TotalTime>12</TotalTime>
  <ScaleCrop>false</ScaleCrop>
  <LinksUpToDate>false</LinksUpToDate>
  <CharactersWithSpaces>278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2026-08-17T07:39:00Z</dcterms:created>
  <dc:creator>.</dc:creator>
  <cp:lastModifiedBy>.</cp:lastModifiedBy>
  <dcterms:modified xsi:type="dcterms:W3CDTF">2026-09-07T01:28:16Z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00D96F52F2AE4FD08304F6F0EDC8820D_11</vt:lpwstr>
  </property>
  <property fmtid="{D5CDD505-2E9C-101B-9397-08002B2CF9AE}" pid="4" name="KSOTemplateDocerSaveRecord">
    <vt:lpwstr>eyJoZGlkIjoiZjcwNmJlZGViOTQxZjc3YjRhNzcwMzI1N2JmOWIyNjAiLCJ1c2VySWQiOiI0NDU5MDc0NjIifQ==</vt:lpwstr>
  </property>
</Properties>
</file>